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2B2FE7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2B2FE7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2B2FE7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0F721BB9" w:rsidR="00AA7D26" w:rsidRPr="008832AA" w:rsidRDefault="00AA7D26" w:rsidP="008832AA">
            <w:pPr>
              <w:ind w:left="-107"/>
              <w:outlineLvl w:val="2"/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</w:pPr>
            <w:r w:rsidRPr="007D610D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8832AA" w:rsidRPr="008832AA">
              <w:rPr>
                <w:rFonts w:ascii="Aptos" w:eastAsiaTheme="minorHAnsi" w:hAnsi="Aptos" w:cs="Aptos"/>
                <w:sz w:val="22"/>
                <w:szCs w:val="22"/>
                <w:lang w:val="it-IT"/>
              </w:rPr>
              <w:t xml:space="preserve"> </w:t>
            </w:r>
            <w:r w:rsidR="008832AA" w:rsidRPr="008832AA">
              <w:rPr>
                <w:rFonts w:ascii="Tahoma" w:eastAsiaTheme="minorHAnsi" w:hAnsi="Tahoma" w:cs="Tahoma"/>
                <w:sz w:val="14"/>
                <w:szCs w:val="14"/>
                <w:lang w:val="it-IT"/>
                <w14:ligatures w14:val="standardContextual"/>
              </w:rPr>
              <w:t>David Bogle, Flavio Manenti, Piero Salatino</w:t>
            </w:r>
          </w:p>
          <w:p w14:paraId="1B0F1814" w14:textId="39433521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</w:t>
            </w:r>
            <w:r w:rsidR="003904D3">
              <w:rPr>
                <w:rFonts w:ascii="Tahoma" w:hAnsi="Tahoma" w:cs="Tahoma"/>
                <w:sz w:val="14"/>
                <w:szCs w:val="14"/>
              </w:rPr>
              <w:t>21</w:t>
            </w:r>
            <w:r w:rsidR="003B49CD" w:rsidRPr="003904D3">
              <w:rPr>
                <w:rFonts w:ascii="Tahoma" w:hAnsi="Tahoma" w:cs="Tahoma"/>
                <w:sz w:val="14"/>
                <w:szCs w:val="14"/>
              </w:rPr>
              <w:t>-</w:t>
            </w:r>
            <w:r w:rsidR="003904D3">
              <w:rPr>
                <w:rFonts w:ascii="Tahoma" w:hAnsi="Tahoma" w:cs="Tahoma"/>
                <w:sz w:val="14"/>
                <w:szCs w:val="14"/>
              </w:rPr>
              <w:t>2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2E667253" w14:textId="51BFDA41" w:rsidR="00E978D0" w:rsidRPr="00B57B36" w:rsidRDefault="002B2FE7" w:rsidP="00E978D0">
      <w:pPr>
        <w:pStyle w:val="CETTitle"/>
      </w:pPr>
      <w:r w:rsidRPr="002B2FE7">
        <w:t>Operating Procedures to Mitigate Greenhouse Gas Emission Caused by Front-End Failures in Petrochemical Plants</w:t>
      </w:r>
    </w:p>
    <w:p w14:paraId="0488FED2" w14:textId="06C9CEA3" w:rsidR="00B57E6F" w:rsidRPr="00B57B36" w:rsidRDefault="002B2FE7" w:rsidP="00B57E6F">
      <w:pPr>
        <w:pStyle w:val="CETAuthors"/>
      </w:pPr>
      <w:r w:rsidRPr="002B2FE7">
        <w:t>Chuei-Tin Chang</w:t>
      </w:r>
      <w:r w:rsidRPr="002B2FE7">
        <w:rPr>
          <w:vertAlign w:val="superscript"/>
        </w:rPr>
        <w:t>*</w:t>
      </w:r>
      <w:r w:rsidR="00B57E6F" w:rsidRPr="00B57B36">
        <w:t xml:space="preserve">, </w:t>
      </w:r>
      <w:bookmarkStart w:id="1" w:name="_Hlk198651869"/>
      <w:r w:rsidR="006C11A5" w:rsidRPr="006C11A5">
        <w:t>Guan-Wun Chen</w:t>
      </w:r>
      <w:bookmarkEnd w:id="1"/>
    </w:p>
    <w:p w14:paraId="3D72B0B0" w14:textId="7CEA019C" w:rsidR="00B57E6F" w:rsidRPr="00B57B36" w:rsidRDefault="006C11A5" w:rsidP="00B57E6F">
      <w:pPr>
        <w:pStyle w:val="CETAddress"/>
      </w:pPr>
      <w:r w:rsidRPr="006C11A5">
        <w:t>Department of Chemical Engineering, National Cheng Kung University, Tainan, Taiwan 70101</w:t>
      </w:r>
    </w:p>
    <w:p w14:paraId="73F1267A" w14:textId="38247413" w:rsidR="00B57E6F" w:rsidRPr="00B57B36" w:rsidRDefault="00B57E6F" w:rsidP="00B57E6F">
      <w:pPr>
        <w:pStyle w:val="CETemail"/>
      </w:pPr>
      <w:r>
        <w:t xml:space="preserve"> </w:t>
      </w:r>
      <w:r w:rsidRPr="00B57B36">
        <w:t>c</w:t>
      </w:r>
      <w:r w:rsidR="00592E4B">
        <w:t>tchang</w:t>
      </w:r>
      <w:r w:rsidRPr="00B57B36">
        <w:t>@</w:t>
      </w:r>
      <w:r w:rsidR="00592E4B">
        <w:t>mail.ncku.edu.tw</w:t>
      </w:r>
    </w:p>
    <w:p w14:paraId="11052EFD" w14:textId="68EC3533" w:rsidR="00BC635E" w:rsidRDefault="003F1082" w:rsidP="00600535">
      <w:pPr>
        <w:pStyle w:val="CETBodytext"/>
        <w:rPr>
          <w:lang w:val="en-GB"/>
        </w:rPr>
      </w:pPr>
      <w:r>
        <w:rPr>
          <w:lang w:val="en-GB"/>
        </w:rPr>
        <w:t>A</w:t>
      </w:r>
      <w:r w:rsidR="009C04F8">
        <w:rPr>
          <w:lang w:val="en-GB"/>
        </w:rPr>
        <w:t xml:space="preserve"> </w:t>
      </w:r>
      <w:r w:rsidR="009C04F8">
        <w:rPr>
          <w:rFonts w:eastAsia="新細明體" w:cs="Arial"/>
          <w:lang w:val="en-GB" w:eastAsia="zh-TW"/>
        </w:rPr>
        <w:t>subprocess</w:t>
      </w:r>
      <w:r w:rsidR="00592E4B">
        <w:rPr>
          <w:lang w:val="en-GB"/>
        </w:rPr>
        <w:t xml:space="preserve"> </w:t>
      </w:r>
      <w:r w:rsidR="00592E4B" w:rsidRPr="00592E4B">
        <w:rPr>
          <w:lang w:val="en-GB"/>
        </w:rPr>
        <w:t xml:space="preserve">that </w:t>
      </w:r>
      <w:r w:rsidR="00592E4B">
        <w:rPr>
          <w:lang w:val="en-GB"/>
        </w:rPr>
        <w:t>facilitates</w:t>
      </w:r>
      <w:r w:rsidR="00592E4B" w:rsidRPr="00592E4B">
        <w:rPr>
          <w:lang w:val="en-GB"/>
        </w:rPr>
        <w:t xml:space="preserve"> product generation in </w:t>
      </w:r>
      <w:r>
        <w:rPr>
          <w:lang w:val="en-GB"/>
        </w:rPr>
        <w:t>petro</w:t>
      </w:r>
      <w:r w:rsidR="00592E4B" w:rsidRPr="00592E4B">
        <w:rPr>
          <w:lang w:val="en-GB"/>
        </w:rPr>
        <w:t>chemical p</w:t>
      </w:r>
      <w:r>
        <w:rPr>
          <w:lang w:val="en-GB"/>
        </w:rPr>
        <w:t>lant</w:t>
      </w:r>
      <w:r w:rsidR="00592E4B" w:rsidRPr="00592E4B">
        <w:rPr>
          <w:lang w:val="en-GB"/>
        </w:rPr>
        <w:t xml:space="preserve"> is </w:t>
      </w:r>
      <w:r w:rsidR="00592E4B">
        <w:rPr>
          <w:lang w:val="en-GB"/>
        </w:rPr>
        <w:t xml:space="preserve">generally </w:t>
      </w:r>
      <w:r w:rsidR="009C04F8">
        <w:rPr>
          <w:lang w:val="en-GB"/>
        </w:rPr>
        <w:t>referred to as</w:t>
      </w:r>
      <w:r w:rsidR="00592E4B">
        <w:rPr>
          <w:lang w:val="en-GB"/>
        </w:rPr>
        <w:t xml:space="preserve"> </w:t>
      </w:r>
      <w:r w:rsidR="00592E4B" w:rsidRPr="00592E4B">
        <w:rPr>
          <w:lang w:val="en-GB"/>
        </w:rPr>
        <w:t>the “front</w:t>
      </w:r>
      <w:r w:rsidR="009C04F8">
        <w:rPr>
          <w:lang w:val="en-GB"/>
        </w:rPr>
        <w:t xml:space="preserve"> </w:t>
      </w:r>
      <w:r w:rsidR="00592E4B" w:rsidRPr="00592E4B">
        <w:rPr>
          <w:lang w:val="en-GB"/>
        </w:rPr>
        <w:t>end</w:t>
      </w:r>
      <w:r w:rsidR="009C04F8">
        <w:rPr>
          <w:lang w:val="en-GB"/>
        </w:rPr>
        <w:t>.</w:t>
      </w:r>
      <w:r w:rsidR="00592E4B" w:rsidRPr="00592E4B">
        <w:rPr>
          <w:lang w:val="en-GB"/>
        </w:rPr>
        <w:t>” The</w:t>
      </w:r>
      <w:r w:rsidR="00E81BD2">
        <w:rPr>
          <w:lang w:val="en-GB"/>
        </w:rPr>
        <w:t xml:space="preserve"> additional</w:t>
      </w:r>
      <w:r w:rsidR="00592E4B" w:rsidRPr="00592E4B">
        <w:rPr>
          <w:lang w:val="en-GB"/>
        </w:rPr>
        <w:t xml:space="preserve"> </w:t>
      </w:r>
      <w:r w:rsidR="009C04F8">
        <w:rPr>
          <w:lang w:val="en-GB"/>
        </w:rPr>
        <w:t xml:space="preserve">hardware </w:t>
      </w:r>
      <w:r>
        <w:rPr>
          <w:lang w:val="en-GB"/>
        </w:rPr>
        <w:t>item</w:t>
      </w:r>
      <w:r w:rsidR="009C04F8">
        <w:rPr>
          <w:lang w:val="en-GB"/>
        </w:rPr>
        <w:t>s</w:t>
      </w:r>
      <w:r>
        <w:rPr>
          <w:lang w:val="en-GB"/>
        </w:rPr>
        <w:t xml:space="preserve"> followed </w:t>
      </w:r>
      <w:r w:rsidR="00592E4B" w:rsidRPr="00592E4B">
        <w:rPr>
          <w:lang w:val="en-GB"/>
        </w:rPr>
        <w:t xml:space="preserve">behind are usually used for </w:t>
      </w:r>
      <w:r>
        <w:rPr>
          <w:lang w:val="en-GB"/>
        </w:rPr>
        <w:t>purification</w:t>
      </w:r>
      <w:r w:rsidR="00592E4B" w:rsidRPr="00592E4B">
        <w:rPr>
          <w:lang w:val="en-GB"/>
        </w:rPr>
        <w:t xml:space="preserve"> purpose</w:t>
      </w:r>
      <w:r>
        <w:rPr>
          <w:lang w:val="en-GB"/>
        </w:rPr>
        <w:t xml:space="preserve"> and</w:t>
      </w:r>
      <w:r w:rsidR="00592E4B" w:rsidRPr="00592E4B">
        <w:rPr>
          <w:lang w:val="en-GB"/>
        </w:rPr>
        <w:t xml:space="preserve"> named </w:t>
      </w:r>
      <w:r w:rsidR="009C04F8">
        <w:rPr>
          <w:lang w:val="en-GB"/>
        </w:rPr>
        <w:t xml:space="preserve">as </w:t>
      </w:r>
      <w:r w:rsidR="00592E4B" w:rsidRPr="00592E4B">
        <w:rPr>
          <w:lang w:val="en-GB"/>
        </w:rPr>
        <w:t xml:space="preserve">the “back-end” units. In a realistic manufacturing environment, it is almost impossible to avoid </w:t>
      </w:r>
      <w:r w:rsidR="00E81BD2">
        <w:rPr>
          <w:lang w:val="en-GB"/>
        </w:rPr>
        <w:t>equipment</w:t>
      </w:r>
      <w:r w:rsidR="00592E4B" w:rsidRPr="00592E4B">
        <w:rPr>
          <w:lang w:val="en-GB"/>
        </w:rPr>
        <w:t xml:space="preserve"> failure(s) after a long period of operations. Obviously,</w:t>
      </w:r>
      <w:r w:rsidR="00E81BD2">
        <w:rPr>
          <w:lang w:val="en-GB"/>
        </w:rPr>
        <w:t xml:space="preserve"> a set of</w:t>
      </w:r>
      <w:r w:rsidR="00592E4B" w:rsidRPr="00592E4B">
        <w:rPr>
          <w:lang w:val="en-GB"/>
        </w:rPr>
        <w:t xml:space="preserve"> </w:t>
      </w:r>
      <w:r w:rsidR="009337E4">
        <w:rPr>
          <w:lang w:val="en-GB"/>
        </w:rPr>
        <w:t>proper</w:t>
      </w:r>
      <w:r w:rsidR="00592E4B" w:rsidRPr="00592E4B">
        <w:rPr>
          <w:lang w:val="en-GB"/>
        </w:rPr>
        <w:t xml:space="preserve"> actions must be taken to dissipate the </w:t>
      </w:r>
      <w:r>
        <w:rPr>
          <w:lang w:val="en-GB"/>
        </w:rPr>
        <w:t>inevitable</w:t>
      </w:r>
      <w:r w:rsidR="00E81BD2">
        <w:rPr>
          <w:lang w:val="en-GB"/>
        </w:rPr>
        <w:t xml:space="preserve"> emission of</w:t>
      </w:r>
      <w:r w:rsidR="00592E4B" w:rsidRPr="00592E4B">
        <w:rPr>
          <w:lang w:val="en-GB"/>
        </w:rPr>
        <w:t xml:space="preserve"> greenhouse gas</w:t>
      </w:r>
      <w:r w:rsidR="009C04F8">
        <w:rPr>
          <w:lang w:val="en-GB"/>
        </w:rPr>
        <w:t xml:space="preserve">es </w:t>
      </w:r>
      <w:r w:rsidR="00592E4B" w:rsidRPr="00592E4B">
        <w:rPr>
          <w:lang w:val="en-GB"/>
        </w:rPr>
        <w:t>emi</w:t>
      </w:r>
      <w:r w:rsidR="009337E4">
        <w:rPr>
          <w:lang w:val="en-GB"/>
        </w:rPr>
        <w:t>t</w:t>
      </w:r>
      <w:r w:rsidR="007741CB">
        <w:rPr>
          <w:lang w:val="en-GB"/>
        </w:rPr>
        <w:t>t</w:t>
      </w:r>
      <w:r w:rsidR="00E81BD2">
        <w:rPr>
          <w:lang w:val="en-GB"/>
        </w:rPr>
        <w:t>ed through the flare stacks</w:t>
      </w:r>
      <w:r w:rsidR="00592E4B" w:rsidRPr="00592E4B">
        <w:rPr>
          <w:lang w:val="en-GB"/>
        </w:rPr>
        <w:t xml:space="preserve">. It is thus </w:t>
      </w:r>
      <w:r w:rsidR="007741CB">
        <w:rPr>
          <w:lang w:val="en-GB"/>
        </w:rPr>
        <w:t>necessary</w:t>
      </w:r>
      <w:r w:rsidR="00592E4B" w:rsidRPr="00592E4B">
        <w:rPr>
          <w:lang w:val="en-GB"/>
        </w:rPr>
        <w:t xml:space="preserve"> to figure out effective counter measures during the design stage against such </w:t>
      </w:r>
      <w:r w:rsidR="00E81BD2">
        <w:rPr>
          <w:lang w:val="en-GB"/>
        </w:rPr>
        <w:t>incidents</w:t>
      </w:r>
      <w:r w:rsidR="00592E4B" w:rsidRPr="00592E4B">
        <w:rPr>
          <w:lang w:val="en-GB"/>
        </w:rPr>
        <w:t xml:space="preserve"> </w:t>
      </w:r>
      <w:r w:rsidR="00E81BD2">
        <w:rPr>
          <w:lang w:val="en-GB"/>
        </w:rPr>
        <w:t>predicted</w:t>
      </w:r>
      <w:r w:rsidR="00592E4B" w:rsidRPr="00592E4B">
        <w:rPr>
          <w:lang w:val="en-GB"/>
        </w:rPr>
        <w:t xml:space="preserve"> a priori. Our research objective here is to conjecture </w:t>
      </w:r>
      <w:r w:rsidR="009C04F8">
        <w:rPr>
          <w:lang w:val="en-GB"/>
        </w:rPr>
        <w:t>a few</w:t>
      </w:r>
      <w:r w:rsidR="00592E4B" w:rsidRPr="00592E4B">
        <w:rPr>
          <w:lang w:val="en-GB"/>
        </w:rPr>
        <w:t xml:space="preserve"> </w:t>
      </w:r>
      <w:r w:rsidR="007741CB">
        <w:rPr>
          <w:lang w:val="en-GB"/>
        </w:rPr>
        <w:t xml:space="preserve">operating </w:t>
      </w:r>
      <w:r w:rsidR="00592E4B" w:rsidRPr="00592E4B">
        <w:rPr>
          <w:lang w:val="en-GB"/>
        </w:rPr>
        <w:t>strategies to eliminate/reduce</w:t>
      </w:r>
      <w:r w:rsidR="00E81BD2">
        <w:rPr>
          <w:lang w:val="en-GB"/>
        </w:rPr>
        <w:t xml:space="preserve"> such</w:t>
      </w:r>
      <w:r w:rsidR="00592E4B" w:rsidRPr="00592E4B">
        <w:rPr>
          <w:lang w:val="en-GB"/>
        </w:rPr>
        <w:t xml:space="preserve"> </w:t>
      </w:r>
      <w:r w:rsidR="007741CB">
        <w:rPr>
          <w:lang w:val="en-GB"/>
        </w:rPr>
        <w:t>air</w:t>
      </w:r>
      <w:r w:rsidR="008B5313">
        <w:rPr>
          <w:lang w:val="en-GB"/>
        </w:rPr>
        <w:t xml:space="preserve"> </w:t>
      </w:r>
      <w:r w:rsidR="00592E4B" w:rsidRPr="00592E4B">
        <w:rPr>
          <w:lang w:val="en-GB"/>
        </w:rPr>
        <w:t>pollution induced by the front-end failures on the basis of sound engineering judgment, previous operational experiences and rigorous simulation results. Although th</w:t>
      </w:r>
      <w:r w:rsidR="009337E4">
        <w:rPr>
          <w:lang w:val="en-GB"/>
        </w:rPr>
        <w:t>is</w:t>
      </w:r>
      <w:r w:rsidR="00592E4B" w:rsidRPr="00592E4B">
        <w:rPr>
          <w:lang w:val="en-GB"/>
        </w:rPr>
        <w:t xml:space="preserve"> h</w:t>
      </w:r>
      <w:r w:rsidR="007741CB">
        <w:rPr>
          <w:lang w:val="en-GB"/>
        </w:rPr>
        <w:t>euristic</w:t>
      </w:r>
      <w:r w:rsidR="00592E4B" w:rsidRPr="00592E4B">
        <w:rPr>
          <w:lang w:val="en-GB"/>
        </w:rPr>
        <w:t xml:space="preserve"> approach may not be as rigorous as those created by the </w:t>
      </w:r>
      <w:r w:rsidR="002B0DFB" w:rsidRPr="002B0DFB">
        <w:rPr>
          <w:rFonts w:eastAsia="新細明體" w:cs="Arial"/>
          <w:lang w:val="en-GB" w:eastAsia="zh-TW"/>
        </w:rPr>
        <w:t>popular</w:t>
      </w:r>
      <w:r w:rsidR="00592E4B" w:rsidRPr="00592E4B">
        <w:rPr>
          <w:lang w:val="en-GB"/>
        </w:rPr>
        <w:t xml:space="preserve"> </w:t>
      </w:r>
      <w:r w:rsidR="00E81BD2">
        <w:rPr>
          <w:lang w:val="en-GB"/>
        </w:rPr>
        <w:t xml:space="preserve">AI </w:t>
      </w:r>
      <w:r w:rsidR="00592E4B" w:rsidRPr="00592E4B">
        <w:rPr>
          <w:lang w:val="en-GB"/>
        </w:rPr>
        <w:t>tools, the</w:t>
      </w:r>
      <w:r w:rsidR="00BC635E">
        <w:rPr>
          <w:lang w:val="en-GB"/>
        </w:rPr>
        <w:t xml:space="preserve"> </w:t>
      </w:r>
      <w:r w:rsidR="008B5313">
        <w:rPr>
          <w:lang w:val="en-GB"/>
        </w:rPr>
        <w:t>resulting</w:t>
      </w:r>
      <w:r w:rsidR="00592E4B" w:rsidRPr="00592E4B">
        <w:rPr>
          <w:lang w:val="en-GB"/>
        </w:rPr>
        <w:t xml:space="preserve"> </w:t>
      </w:r>
      <w:r w:rsidR="00712BC0">
        <w:rPr>
          <w:lang w:val="en-GB"/>
        </w:rPr>
        <w:t xml:space="preserve">operating </w:t>
      </w:r>
      <w:r w:rsidR="00E81BD2">
        <w:rPr>
          <w:lang w:val="en-GB"/>
        </w:rPr>
        <w:t>procedure</w:t>
      </w:r>
      <w:r w:rsidR="008B5313">
        <w:rPr>
          <w:lang w:val="en-GB"/>
        </w:rPr>
        <w:t>(s)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should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at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least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be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reliable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and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can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be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used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as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the</w:t>
      </w:r>
      <w:r w:rsidR="002B0DFB">
        <w:rPr>
          <w:lang w:val="en-GB"/>
        </w:rPr>
        <w:t xml:space="preserve"> </w:t>
      </w:r>
      <w:r w:rsidR="008B5313">
        <w:rPr>
          <w:lang w:val="en-GB"/>
        </w:rPr>
        <w:t>foundation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for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further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>improvements.</w:t>
      </w:r>
      <w:r w:rsidR="002B0DFB">
        <w:rPr>
          <w:lang w:val="en-GB"/>
        </w:rPr>
        <w:t xml:space="preserve"> </w:t>
      </w:r>
      <w:r w:rsidR="00592E4B" w:rsidRPr="00592E4B">
        <w:rPr>
          <w:lang w:val="en-GB"/>
        </w:rPr>
        <w:t xml:space="preserve">Note also that this procedure synthesis </w:t>
      </w:r>
      <w:r w:rsidR="00BC635E">
        <w:rPr>
          <w:lang w:val="en-GB"/>
        </w:rPr>
        <w:t>methodology</w:t>
      </w:r>
      <w:r w:rsidR="00592E4B" w:rsidRPr="00592E4B">
        <w:rPr>
          <w:lang w:val="en-GB"/>
        </w:rPr>
        <w:t xml:space="preserve"> may be carried out much more quickly without the need to secure a large amount of training data in advance. F</w:t>
      </w:r>
      <w:r w:rsidR="007741CB">
        <w:rPr>
          <w:lang w:val="en-GB"/>
        </w:rPr>
        <w:t>inally</w:t>
      </w:r>
      <w:r w:rsidR="00592E4B" w:rsidRPr="00592E4B">
        <w:rPr>
          <w:lang w:val="en-GB"/>
        </w:rPr>
        <w:t>, th</w:t>
      </w:r>
      <w:r w:rsidR="00BC635E">
        <w:rPr>
          <w:lang w:val="en-GB"/>
        </w:rPr>
        <w:t>is</w:t>
      </w:r>
      <w:r w:rsidR="00592E4B" w:rsidRPr="00592E4B">
        <w:rPr>
          <w:lang w:val="en-GB"/>
        </w:rPr>
        <w:t xml:space="preserve"> back</w:t>
      </w:r>
      <w:r w:rsidR="00BC635E">
        <w:rPr>
          <w:lang w:val="en-GB"/>
        </w:rPr>
        <w:t>-</w:t>
      </w:r>
      <w:r w:rsidR="00592E4B" w:rsidRPr="00592E4B">
        <w:rPr>
          <w:lang w:val="en-GB"/>
        </w:rPr>
        <w:t>end</w:t>
      </w:r>
      <w:r w:rsidR="00BC635E">
        <w:rPr>
          <w:lang w:val="en-GB"/>
        </w:rPr>
        <w:t xml:space="preserve"> manipulation protocol </w:t>
      </w:r>
      <w:r w:rsidR="007741CB">
        <w:rPr>
          <w:lang w:val="en-GB"/>
        </w:rPr>
        <w:t xml:space="preserve">may </w:t>
      </w:r>
      <w:r w:rsidR="00712BC0">
        <w:rPr>
          <w:lang w:val="en-GB"/>
        </w:rPr>
        <w:t xml:space="preserve">also </w:t>
      </w:r>
      <w:r w:rsidR="007741CB">
        <w:rPr>
          <w:lang w:val="en-GB"/>
        </w:rPr>
        <w:t>be</w:t>
      </w:r>
      <w:r w:rsidR="00BC635E">
        <w:rPr>
          <w:lang w:val="en-GB"/>
        </w:rPr>
        <w:t xml:space="preserve"> appli</w:t>
      </w:r>
      <w:r w:rsidR="00712BC0">
        <w:rPr>
          <w:lang w:val="en-GB"/>
        </w:rPr>
        <w:t>ed</w:t>
      </w:r>
      <w:r w:rsidR="00BC635E">
        <w:rPr>
          <w:lang w:val="en-GB"/>
        </w:rPr>
        <w:t xml:space="preserve"> to</w:t>
      </w:r>
      <w:r w:rsidR="00592E4B" w:rsidRPr="00592E4B">
        <w:rPr>
          <w:lang w:val="en-GB"/>
        </w:rPr>
        <w:t xml:space="preserve"> other chemical plant</w:t>
      </w:r>
      <w:r w:rsidR="007741CB">
        <w:rPr>
          <w:lang w:val="en-GB"/>
        </w:rPr>
        <w:t>s</w:t>
      </w:r>
      <w:r w:rsidR="00592E4B" w:rsidRPr="00592E4B">
        <w:rPr>
          <w:lang w:val="en-GB"/>
        </w:rPr>
        <w:t xml:space="preserve"> after malfunction(s) develops in the front end. </w:t>
      </w:r>
      <w:bookmarkStart w:id="2" w:name="_Hlk495475023"/>
    </w:p>
    <w:bookmarkEnd w:id="2"/>
    <w:p w14:paraId="476B2F2E" w14:textId="52B36035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071EB451" w14:textId="77777777" w:rsidR="00241B42" w:rsidRDefault="009B0AE4" w:rsidP="007E6ED1">
      <w:pPr>
        <w:pStyle w:val="CETBodytext"/>
      </w:pPr>
      <w:r w:rsidRPr="009B0AE4">
        <w:rPr>
          <w:lang w:val="en-GB"/>
        </w:rPr>
        <w:t>As the</w:t>
      </w:r>
      <w:r w:rsidR="00DF7A1A">
        <w:rPr>
          <w:lang w:val="en-GB"/>
        </w:rPr>
        <w:t xml:space="preserve"> </w:t>
      </w:r>
      <w:r w:rsidR="00B27E65">
        <w:rPr>
          <w:lang w:val="en-GB"/>
        </w:rPr>
        <w:t>undesirable</w:t>
      </w:r>
      <w:r w:rsidRPr="009B0AE4">
        <w:rPr>
          <w:lang w:val="en-GB"/>
        </w:rPr>
        <w:t xml:space="preserve"> effects of global warming become apparent, </w:t>
      </w:r>
      <w:r w:rsidR="00DF7A1A">
        <w:rPr>
          <w:lang w:val="en-GB"/>
        </w:rPr>
        <w:t>suppression</w:t>
      </w:r>
      <w:r w:rsidRPr="009B0AE4">
        <w:rPr>
          <w:lang w:val="en-GB"/>
        </w:rPr>
        <w:t xml:space="preserve"> of greenhouse gas</w:t>
      </w:r>
      <w:r w:rsidR="00DF7A1A">
        <w:rPr>
          <w:lang w:val="en-GB"/>
        </w:rPr>
        <w:t xml:space="preserve"> </w:t>
      </w:r>
      <w:r w:rsidR="001E3355">
        <w:rPr>
          <w:lang w:val="en-GB"/>
        </w:rPr>
        <w:t xml:space="preserve">(GHG) </w:t>
      </w:r>
      <w:r w:rsidR="00DF7A1A">
        <w:rPr>
          <w:lang w:val="en-GB"/>
        </w:rPr>
        <w:t>emission</w:t>
      </w:r>
      <w:r w:rsidRPr="009B0AE4">
        <w:rPr>
          <w:lang w:val="en-GB"/>
        </w:rPr>
        <w:t xml:space="preserve"> has </w:t>
      </w:r>
      <w:r w:rsidR="00DF7A1A">
        <w:rPr>
          <w:lang w:val="en-GB"/>
        </w:rPr>
        <w:t xml:space="preserve">become </w:t>
      </w:r>
      <w:r w:rsidR="00FF6C1C">
        <w:rPr>
          <w:lang w:val="en-GB"/>
        </w:rPr>
        <w:t>a critical issue</w:t>
      </w:r>
      <w:r w:rsidRPr="009B0AE4">
        <w:rPr>
          <w:lang w:val="en-GB"/>
        </w:rPr>
        <w:t xml:space="preserve"> </w:t>
      </w:r>
      <w:r w:rsidR="00DF7A1A">
        <w:rPr>
          <w:lang w:val="en-GB"/>
        </w:rPr>
        <w:t>for keeping the petro</w:t>
      </w:r>
      <w:r w:rsidRPr="009B0AE4">
        <w:rPr>
          <w:lang w:val="en-GB"/>
        </w:rPr>
        <w:t>chemical industries</w:t>
      </w:r>
      <w:r w:rsidR="00DF7A1A">
        <w:rPr>
          <w:lang w:val="en-GB"/>
        </w:rPr>
        <w:t xml:space="preserve"> sustainable</w:t>
      </w:r>
      <w:r w:rsidRPr="009B0AE4">
        <w:rPr>
          <w:lang w:val="en-GB"/>
        </w:rPr>
        <w:t xml:space="preserve">. </w:t>
      </w:r>
      <w:r w:rsidR="007A6117">
        <w:rPr>
          <w:lang w:val="en-GB"/>
        </w:rPr>
        <w:t xml:space="preserve">According to </w:t>
      </w:r>
      <w:r w:rsidRPr="009B0AE4">
        <w:rPr>
          <w:lang w:val="en-GB"/>
        </w:rPr>
        <w:t>Murphy and Allen</w:t>
      </w:r>
      <w:r w:rsidR="00FF6C1C">
        <w:rPr>
          <w:lang w:val="en-GB"/>
        </w:rPr>
        <w:t xml:space="preserve"> (2005)</w:t>
      </w:r>
      <w:r w:rsidR="007A6117">
        <w:rPr>
          <w:lang w:val="en-GB"/>
        </w:rPr>
        <w:t>,</w:t>
      </w:r>
      <w:r w:rsidR="00FF6C1C">
        <w:rPr>
          <w:lang w:val="en-GB"/>
        </w:rPr>
        <w:t xml:space="preserve"> these</w:t>
      </w:r>
      <w:r w:rsidRPr="009B0AE4">
        <w:rPr>
          <w:lang w:val="en-GB"/>
        </w:rPr>
        <w:t xml:space="preserve"> </w:t>
      </w:r>
      <w:r w:rsidR="001E3355">
        <w:rPr>
          <w:lang w:val="en-GB"/>
        </w:rPr>
        <w:t>gases</w:t>
      </w:r>
      <w:r w:rsidRPr="009B0AE4">
        <w:rPr>
          <w:lang w:val="en-GB"/>
        </w:rPr>
        <w:t xml:space="preserve"> </w:t>
      </w:r>
      <w:r w:rsidR="007A6117">
        <w:rPr>
          <w:lang w:val="en-GB"/>
        </w:rPr>
        <w:t xml:space="preserve">may </w:t>
      </w:r>
      <w:r w:rsidR="00FF6C1C">
        <w:rPr>
          <w:lang w:val="en-GB"/>
        </w:rPr>
        <w:t>include</w:t>
      </w:r>
      <w:r w:rsidRPr="009B0AE4">
        <w:rPr>
          <w:lang w:val="en-GB"/>
        </w:rPr>
        <w:t xml:space="preserve">: methane, ethylene, propylene, butylene and butadiene, etc. </w:t>
      </w:r>
      <w:r w:rsidR="00FF6C1C">
        <w:rPr>
          <w:lang w:val="en-GB"/>
        </w:rPr>
        <w:t>N</w:t>
      </w:r>
      <w:r w:rsidRPr="009B0AE4">
        <w:rPr>
          <w:lang w:val="en-GB"/>
        </w:rPr>
        <w:t xml:space="preserve">aphtha cracking </w:t>
      </w:r>
      <w:r w:rsidR="00FF6C1C">
        <w:rPr>
          <w:lang w:val="en-GB"/>
        </w:rPr>
        <w:t xml:space="preserve">is a typical </w:t>
      </w:r>
      <w:r w:rsidR="001E3355">
        <w:rPr>
          <w:lang w:val="en-GB"/>
        </w:rPr>
        <w:t>GHG-</w:t>
      </w:r>
      <w:r w:rsidR="007A6117">
        <w:rPr>
          <w:lang w:val="en-GB"/>
        </w:rPr>
        <w:t>emitt</w:t>
      </w:r>
      <w:r w:rsidR="001E3355">
        <w:rPr>
          <w:lang w:val="en-GB"/>
        </w:rPr>
        <w:t>ing</w:t>
      </w:r>
      <w:r w:rsidRPr="009B0AE4">
        <w:rPr>
          <w:lang w:val="en-GB"/>
        </w:rPr>
        <w:t xml:space="preserve"> process, </w:t>
      </w:r>
      <w:r w:rsidR="001E3355">
        <w:rPr>
          <w:lang w:val="en-GB"/>
        </w:rPr>
        <w:t>which</w:t>
      </w:r>
      <w:r w:rsidRPr="009B0AE4">
        <w:rPr>
          <w:lang w:val="en-GB"/>
        </w:rPr>
        <w:t xml:space="preserve"> is u</w:t>
      </w:r>
      <w:r w:rsidR="001E3355">
        <w:rPr>
          <w:lang w:val="en-GB"/>
        </w:rPr>
        <w:t>tilized</w:t>
      </w:r>
      <w:r w:rsidRPr="009B0AE4">
        <w:rPr>
          <w:lang w:val="en-GB"/>
        </w:rPr>
        <w:t xml:space="preserve"> </w:t>
      </w:r>
      <w:r w:rsidR="007A6117">
        <w:rPr>
          <w:lang w:val="en-GB"/>
        </w:rPr>
        <w:t>in th</w:t>
      </w:r>
      <w:r w:rsidR="00586524">
        <w:rPr>
          <w:lang w:val="en-GB"/>
        </w:rPr>
        <w:t>e present</w:t>
      </w:r>
      <w:r w:rsidR="007A6117">
        <w:rPr>
          <w:lang w:val="en-GB"/>
        </w:rPr>
        <w:t xml:space="preserve"> paper</w:t>
      </w:r>
      <w:r w:rsidR="001E3355">
        <w:rPr>
          <w:lang w:val="en-GB"/>
        </w:rPr>
        <w:t xml:space="preserve"> </w:t>
      </w:r>
      <w:r w:rsidRPr="009B0AE4">
        <w:rPr>
          <w:lang w:val="en-GB"/>
        </w:rPr>
        <w:t>as a working example for illustration convenience</w:t>
      </w:r>
      <w:r>
        <w:rPr>
          <w:lang w:val="en-GB"/>
        </w:rPr>
        <w:t>.</w:t>
      </w:r>
      <w:r w:rsidRPr="009B0AE4">
        <w:t xml:space="preserve"> </w:t>
      </w:r>
    </w:p>
    <w:p w14:paraId="6BDD04C5" w14:textId="645DA3C6" w:rsidR="00015BEE" w:rsidRDefault="00A308DE" w:rsidP="007E6ED1">
      <w:pPr>
        <w:pStyle w:val="CETBodytext"/>
        <w:rPr>
          <w:rFonts w:eastAsia="新細明體"/>
          <w:lang w:val="en-GB" w:eastAsia="zh-TW"/>
        </w:rPr>
      </w:pPr>
      <w:r>
        <w:t xml:space="preserve">In a sense, </w:t>
      </w:r>
      <w:r w:rsidR="007A6117">
        <w:t>all</w:t>
      </w:r>
      <w:r w:rsidR="009B0AE4" w:rsidRPr="009B0AE4">
        <w:rPr>
          <w:lang w:val="en-GB"/>
        </w:rPr>
        <w:t xml:space="preserve"> chemical processes can</w:t>
      </w:r>
      <w:r w:rsidR="00142027">
        <w:rPr>
          <w:lang w:val="en-GB"/>
        </w:rPr>
        <w:t xml:space="preserve"> </w:t>
      </w:r>
      <w:r w:rsidR="009B0AE4" w:rsidRPr="009B0AE4">
        <w:rPr>
          <w:lang w:val="en-GB"/>
        </w:rPr>
        <w:t xml:space="preserve">be structurally </w:t>
      </w:r>
      <w:r w:rsidR="001E3355">
        <w:rPr>
          <w:lang w:val="en-GB"/>
        </w:rPr>
        <w:t>characterized with</w:t>
      </w:r>
      <w:r w:rsidR="009B0AE4" w:rsidRPr="009B0AE4">
        <w:rPr>
          <w:lang w:val="en-GB"/>
        </w:rPr>
        <w:t xml:space="preserve"> two </w:t>
      </w:r>
      <w:r w:rsidR="001E3355">
        <w:rPr>
          <w:lang w:val="en-GB"/>
        </w:rPr>
        <w:t>subprocesses</w:t>
      </w:r>
      <w:r w:rsidR="009B0AE4" w:rsidRPr="009B0AE4">
        <w:rPr>
          <w:lang w:val="en-GB"/>
        </w:rPr>
        <w:t xml:space="preserve"> </w:t>
      </w:r>
      <w:r w:rsidR="00142027">
        <w:rPr>
          <w:lang w:val="en-GB"/>
        </w:rPr>
        <w:t>placing</w:t>
      </w:r>
      <w:r w:rsidR="009B0AE4" w:rsidRPr="009B0AE4">
        <w:rPr>
          <w:lang w:val="en-GB"/>
        </w:rPr>
        <w:t xml:space="preserve"> </w:t>
      </w:r>
      <w:r>
        <w:rPr>
          <w:lang w:val="en-GB"/>
        </w:rPr>
        <w:t xml:space="preserve">next to each other </w:t>
      </w:r>
      <w:r w:rsidR="009B0AE4" w:rsidRPr="009B0AE4">
        <w:rPr>
          <w:lang w:val="en-GB"/>
        </w:rPr>
        <w:t xml:space="preserve">in series. The </w:t>
      </w:r>
      <w:r>
        <w:rPr>
          <w:lang w:val="en-GB"/>
        </w:rPr>
        <w:t xml:space="preserve">subprocess </w:t>
      </w:r>
      <w:r w:rsidR="00B27E65">
        <w:rPr>
          <w:lang w:val="en-GB"/>
        </w:rPr>
        <w:t>in</w:t>
      </w:r>
      <w:r>
        <w:rPr>
          <w:lang w:val="en-GB"/>
        </w:rPr>
        <w:t xml:space="preserve"> </w:t>
      </w:r>
      <w:r w:rsidR="009B0AE4" w:rsidRPr="009B0AE4">
        <w:rPr>
          <w:lang w:val="en-GB"/>
        </w:rPr>
        <w:t xml:space="preserve">front is adopted </w:t>
      </w:r>
      <w:r w:rsidR="00B27E65">
        <w:rPr>
          <w:lang w:val="en-GB"/>
        </w:rPr>
        <w:t xml:space="preserve">primarily </w:t>
      </w:r>
      <w:r w:rsidR="009B0AE4" w:rsidRPr="009B0AE4">
        <w:rPr>
          <w:lang w:val="en-GB"/>
        </w:rPr>
        <w:t>to produce a mixture that contains the target product(s), the unreacted reactants, by</w:t>
      </w:r>
      <w:r w:rsidR="00135B12">
        <w:rPr>
          <w:lang w:val="en-GB"/>
        </w:rPr>
        <w:t>-</w:t>
      </w:r>
      <w:r w:rsidR="009B0AE4" w:rsidRPr="009B0AE4">
        <w:rPr>
          <w:lang w:val="en-GB"/>
        </w:rPr>
        <w:t xml:space="preserve">products and other wastes. This mixture is then sent to </w:t>
      </w:r>
      <w:r w:rsidR="007A6117">
        <w:rPr>
          <w:lang w:val="en-GB"/>
        </w:rPr>
        <w:t>the</w:t>
      </w:r>
      <w:r>
        <w:rPr>
          <w:lang w:val="en-GB"/>
        </w:rPr>
        <w:t xml:space="preserve"> subprocess</w:t>
      </w:r>
      <w:r w:rsidR="009B0AE4" w:rsidRPr="009B0AE4">
        <w:rPr>
          <w:lang w:val="en-GB"/>
        </w:rPr>
        <w:t xml:space="preserve"> </w:t>
      </w:r>
      <w:r>
        <w:rPr>
          <w:lang w:val="en-GB"/>
        </w:rPr>
        <w:t>at</w:t>
      </w:r>
      <w:r w:rsidR="009B0AE4" w:rsidRPr="009B0AE4">
        <w:rPr>
          <w:lang w:val="en-GB"/>
        </w:rPr>
        <w:t xml:space="preserve"> the back end to </w:t>
      </w:r>
      <w:r w:rsidR="00712BC0">
        <w:rPr>
          <w:lang w:val="en-GB"/>
        </w:rPr>
        <w:t>purify</w:t>
      </w:r>
      <w:r w:rsidR="009B0AE4" w:rsidRPr="009B0AE4">
        <w:rPr>
          <w:lang w:val="en-GB"/>
        </w:rPr>
        <w:t xml:space="preserve"> </w:t>
      </w:r>
      <w:r>
        <w:rPr>
          <w:lang w:val="en-GB"/>
        </w:rPr>
        <w:t>all</w:t>
      </w:r>
      <w:r w:rsidR="009B0AE4" w:rsidRPr="009B0AE4">
        <w:rPr>
          <w:lang w:val="en-GB"/>
        </w:rPr>
        <w:t xml:space="preserve"> </w:t>
      </w:r>
      <w:r w:rsidR="007A6117">
        <w:rPr>
          <w:lang w:val="en-GB"/>
        </w:rPr>
        <w:t>its component</w:t>
      </w:r>
      <w:r w:rsidR="009B0AE4" w:rsidRPr="009B0AE4">
        <w:rPr>
          <w:lang w:val="en-GB"/>
        </w:rPr>
        <w:t xml:space="preserve">s. </w:t>
      </w:r>
      <w:proofErr w:type="spellStart"/>
      <w:r w:rsidR="009B0AE4" w:rsidRPr="009B0AE4">
        <w:rPr>
          <w:lang w:val="en-GB"/>
        </w:rPr>
        <w:t>Chenevert</w:t>
      </w:r>
      <w:proofErr w:type="spellEnd"/>
      <w:r w:rsidR="009B0AE4" w:rsidRPr="009B0AE4">
        <w:rPr>
          <w:lang w:val="en-GB"/>
        </w:rPr>
        <w:t xml:space="preserve"> et al.</w:t>
      </w:r>
      <w:r>
        <w:rPr>
          <w:lang w:val="en-GB"/>
        </w:rPr>
        <w:t xml:space="preserve"> (2005)</w:t>
      </w:r>
      <w:r w:rsidR="009B0AE4" w:rsidRPr="009B0AE4">
        <w:rPr>
          <w:lang w:val="en-GB"/>
        </w:rPr>
        <w:t xml:space="preserve"> </w:t>
      </w:r>
      <w:r w:rsidR="004A629E">
        <w:rPr>
          <w:lang w:val="en-GB"/>
        </w:rPr>
        <w:t>proposed</w:t>
      </w:r>
      <w:r w:rsidR="009B0AE4" w:rsidRPr="009B0AE4">
        <w:rPr>
          <w:lang w:val="en-GB"/>
        </w:rPr>
        <w:t xml:space="preserve"> a so-called “tail-chase” </w:t>
      </w:r>
      <w:r w:rsidR="004A629E">
        <w:rPr>
          <w:lang w:val="en-GB"/>
        </w:rPr>
        <w:t xml:space="preserve">strategy to </w:t>
      </w:r>
      <w:r w:rsidR="009B0AE4" w:rsidRPr="009B0AE4">
        <w:rPr>
          <w:lang w:val="en-GB"/>
        </w:rPr>
        <w:t>reduc</w:t>
      </w:r>
      <w:r w:rsidR="004A629E">
        <w:rPr>
          <w:lang w:val="en-GB"/>
        </w:rPr>
        <w:t>e</w:t>
      </w:r>
      <w:r w:rsidR="009B0AE4" w:rsidRPr="009B0AE4">
        <w:rPr>
          <w:lang w:val="en-GB"/>
        </w:rPr>
        <w:t xml:space="preserve"> 75-80% of the total amount of </w:t>
      </w:r>
      <w:r w:rsidR="004A629E">
        <w:rPr>
          <w:lang w:val="en-GB"/>
        </w:rPr>
        <w:t>gaseous compounds</w:t>
      </w:r>
      <w:r w:rsidR="009B0AE4" w:rsidRPr="009B0AE4">
        <w:rPr>
          <w:lang w:val="en-GB"/>
        </w:rPr>
        <w:t xml:space="preserve"> flared </w:t>
      </w:r>
      <w:r w:rsidR="004A629E">
        <w:rPr>
          <w:lang w:val="en-GB"/>
        </w:rPr>
        <w:t>during</w:t>
      </w:r>
      <w:r w:rsidR="009B0AE4" w:rsidRPr="009B0AE4">
        <w:rPr>
          <w:lang w:val="en-GB"/>
        </w:rPr>
        <w:t xml:space="preserve"> start</w:t>
      </w:r>
      <w:r w:rsidR="001438AD">
        <w:rPr>
          <w:lang w:val="en-GB"/>
        </w:rPr>
        <w:t>-</w:t>
      </w:r>
      <w:r w:rsidR="009B0AE4" w:rsidRPr="009B0AE4">
        <w:rPr>
          <w:lang w:val="en-GB"/>
        </w:rPr>
        <w:t xml:space="preserve">up and/or shutdown. This </w:t>
      </w:r>
      <w:r w:rsidR="004831FC">
        <w:rPr>
          <w:lang w:val="en-GB"/>
        </w:rPr>
        <w:t>nonconventional operation</w:t>
      </w:r>
      <w:r w:rsidR="009B0AE4" w:rsidRPr="009B0AE4">
        <w:rPr>
          <w:lang w:val="en-GB"/>
        </w:rPr>
        <w:t xml:space="preserve"> </w:t>
      </w:r>
      <w:r w:rsidR="004831FC">
        <w:rPr>
          <w:lang w:val="en-GB"/>
        </w:rPr>
        <w:t>can be easily</w:t>
      </w:r>
      <w:r w:rsidR="009B0AE4" w:rsidRPr="009B0AE4">
        <w:rPr>
          <w:lang w:val="en-GB"/>
        </w:rPr>
        <w:t xml:space="preserve"> </w:t>
      </w:r>
      <w:r w:rsidR="004A629E">
        <w:rPr>
          <w:lang w:val="en-GB"/>
        </w:rPr>
        <w:t>facilitated</w:t>
      </w:r>
      <w:r w:rsidR="009B0AE4" w:rsidRPr="009B0AE4">
        <w:rPr>
          <w:lang w:val="en-GB"/>
        </w:rPr>
        <w:t xml:space="preserve"> with</w:t>
      </w:r>
      <w:r w:rsidR="004A629E">
        <w:rPr>
          <w:lang w:val="en-GB"/>
        </w:rPr>
        <w:t xml:space="preserve"> </w:t>
      </w:r>
      <w:r w:rsidR="00F07EA5">
        <w:rPr>
          <w:lang w:val="en-GB"/>
        </w:rPr>
        <w:t xml:space="preserve">a few </w:t>
      </w:r>
      <w:r w:rsidR="009B0AE4" w:rsidRPr="009B0AE4">
        <w:rPr>
          <w:lang w:val="en-GB"/>
        </w:rPr>
        <w:t xml:space="preserve">extra compressors, pumps, pipelines, valves and fittings to recycle all streams from the </w:t>
      </w:r>
      <w:r w:rsidR="00F07EA5">
        <w:rPr>
          <w:lang w:val="en-GB"/>
        </w:rPr>
        <w:t xml:space="preserve">exits of </w:t>
      </w:r>
      <w:r w:rsidR="004A629E">
        <w:rPr>
          <w:lang w:val="en-GB"/>
        </w:rPr>
        <w:t>back</w:t>
      </w:r>
      <w:r w:rsidR="00F07EA5">
        <w:rPr>
          <w:lang w:val="en-GB"/>
        </w:rPr>
        <w:t xml:space="preserve"> </w:t>
      </w:r>
      <w:r w:rsidR="004A629E">
        <w:rPr>
          <w:lang w:val="en-GB"/>
        </w:rPr>
        <w:t>end</w:t>
      </w:r>
      <w:r w:rsidR="009B0AE4" w:rsidRPr="009B0AE4">
        <w:rPr>
          <w:lang w:val="en-GB"/>
        </w:rPr>
        <w:t xml:space="preserve"> to the inlet</w:t>
      </w:r>
      <w:r w:rsidR="00241B42">
        <w:rPr>
          <w:lang w:val="en-GB"/>
        </w:rPr>
        <w:t>s</w:t>
      </w:r>
      <w:r w:rsidR="009B0AE4" w:rsidRPr="009B0AE4">
        <w:rPr>
          <w:lang w:val="en-GB"/>
        </w:rPr>
        <w:t xml:space="preserve"> of the same </w:t>
      </w:r>
      <w:r w:rsidR="004A629E">
        <w:rPr>
          <w:lang w:val="en-GB"/>
        </w:rPr>
        <w:t>subprocess</w:t>
      </w:r>
      <w:r w:rsidR="009B0AE4" w:rsidRPr="009B0AE4">
        <w:rPr>
          <w:lang w:val="en-GB"/>
        </w:rPr>
        <w:t xml:space="preserve">. </w:t>
      </w:r>
      <w:r w:rsidR="004831FC">
        <w:rPr>
          <w:lang w:val="en-GB"/>
        </w:rPr>
        <w:t>Notice that</w:t>
      </w:r>
      <w:r w:rsidR="009B0AE4" w:rsidRPr="009B0AE4">
        <w:rPr>
          <w:lang w:val="en-GB"/>
        </w:rPr>
        <w:t xml:space="preserve"> the </w:t>
      </w:r>
      <w:r w:rsidR="004831FC">
        <w:rPr>
          <w:lang w:val="en-GB"/>
        </w:rPr>
        <w:t>tail-chase</w:t>
      </w:r>
      <w:r w:rsidR="009B0AE4" w:rsidRPr="009B0AE4">
        <w:rPr>
          <w:lang w:val="en-GB"/>
        </w:rPr>
        <w:t xml:space="preserve"> tactic</w:t>
      </w:r>
      <w:r w:rsidR="004831FC">
        <w:rPr>
          <w:lang w:val="en-GB"/>
        </w:rPr>
        <w:t xml:space="preserve"> completely</w:t>
      </w:r>
      <w:r w:rsidR="009B0AE4" w:rsidRPr="009B0AE4">
        <w:rPr>
          <w:lang w:val="en-GB"/>
        </w:rPr>
        <w:t xml:space="preserve"> </w:t>
      </w:r>
      <w:r w:rsidR="004831FC">
        <w:rPr>
          <w:lang w:val="en-GB"/>
        </w:rPr>
        <w:t>avoids</w:t>
      </w:r>
      <w:r w:rsidR="009B0AE4" w:rsidRPr="009B0AE4">
        <w:rPr>
          <w:lang w:val="en-GB"/>
        </w:rPr>
        <w:t xml:space="preserve"> sending the </w:t>
      </w:r>
      <w:r w:rsidR="00F07EA5">
        <w:rPr>
          <w:lang w:val="en-GB"/>
        </w:rPr>
        <w:t>GHG</w:t>
      </w:r>
      <w:r w:rsidR="009B0AE4" w:rsidRPr="009B0AE4">
        <w:rPr>
          <w:lang w:val="en-GB"/>
        </w:rPr>
        <w:t>s to the flare stack</w:t>
      </w:r>
      <w:r w:rsidR="00893E26">
        <w:rPr>
          <w:lang w:val="en-GB"/>
        </w:rPr>
        <w:t>(s)</w:t>
      </w:r>
      <w:r w:rsidR="007A6117">
        <w:rPr>
          <w:lang w:val="en-GB"/>
        </w:rPr>
        <w:t>, a</w:t>
      </w:r>
      <w:r w:rsidR="00EF7AB7">
        <w:rPr>
          <w:lang w:val="en-GB"/>
        </w:rPr>
        <w:t>nd its</w:t>
      </w:r>
      <w:r w:rsidR="00893E26">
        <w:rPr>
          <w:lang w:val="en-GB"/>
        </w:rPr>
        <w:t xml:space="preserve"> operational</w:t>
      </w:r>
      <w:r w:rsidR="009B0AE4" w:rsidRPr="009B0AE4">
        <w:rPr>
          <w:lang w:val="en-GB"/>
        </w:rPr>
        <w:t xml:space="preserve"> safety and feasibility </w:t>
      </w:r>
      <w:r w:rsidR="007A6117">
        <w:rPr>
          <w:lang w:val="en-GB"/>
        </w:rPr>
        <w:t xml:space="preserve">has already been confirmed by </w:t>
      </w:r>
      <w:r w:rsidR="007A6117" w:rsidRPr="007A6117">
        <w:rPr>
          <w:lang w:val="en-GB"/>
        </w:rPr>
        <w:t>Xu et al. (2020)</w:t>
      </w:r>
      <w:r w:rsidR="009B0AE4" w:rsidRPr="009B0AE4">
        <w:rPr>
          <w:lang w:val="en-GB"/>
        </w:rPr>
        <w:t xml:space="preserve"> for the</w:t>
      </w:r>
      <w:r w:rsidR="00B27E65">
        <w:rPr>
          <w:lang w:val="en-GB"/>
        </w:rPr>
        <w:t xml:space="preserve"> </w:t>
      </w:r>
      <w:r w:rsidR="009B0AE4" w:rsidRPr="009B0AE4">
        <w:rPr>
          <w:lang w:val="en-GB"/>
        </w:rPr>
        <w:t>ethylene plant.</w:t>
      </w:r>
      <w:r w:rsidR="007E6ED1">
        <w:rPr>
          <w:rFonts w:eastAsia="新細明體" w:hint="eastAsia"/>
          <w:lang w:val="en-GB" w:eastAsia="zh-TW"/>
        </w:rPr>
        <w:t xml:space="preserve"> </w:t>
      </w:r>
      <w:r w:rsidR="00C6143B" w:rsidRPr="00C6143B">
        <w:rPr>
          <w:rFonts w:eastAsia="新細明體"/>
          <w:lang w:val="en-GB" w:eastAsia="zh-TW"/>
        </w:rPr>
        <w:t xml:space="preserve">To expedite realization of </w:t>
      </w:r>
      <w:r w:rsidR="00C6143B">
        <w:rPr>
          <w:rFonts w:eastAsia="新細明體"/>
          <w:lang w:val="en-GB" w:eastAsia="zh-TW"/>
        </w:rPr>
        <w:t xml:space="preserve">tail-chase </w:t>
      </w:r>
      <w:r w:rsidR="00C6143B" w:rsidRPr="00C6143B">
        <w:rPr>
          <w:rFonts w:eastAsia="新細明體"/>
          <w:lang w:val="en-GB" w:eastAsia="zh-TW"/>
        </w:rPr>
        <w:t>ope</w:t>
      </w:r>
      <w:r w:rsidR="00C6143B">
        <w:rPr>
          <w:rFonts w:eastAsia="新細明體"/>
          <w:lang w:val="en-GB" w:eastAsia="zh-TW"/>
        </w:rPr>
        <w:t>ration</w:t>
      </w:r>
      <w:r w:rsidR="00C6143B" w:rsidRPr="00C6143B">
        <w:rPr>
          <w:rFonts w:eastAsia="新細明體"/>
          <w:lang w:val="en-GB" w:eastAsia="zh-TW"/>
        </w:rPr>
        <w:t>, Yang et al.</w:t>
      </w:r>
      <w:r w:rsidR="00C6143B">
        <w:rPr>
          <w:rFonts w:eastAsia="新細明體"/>
          <w:lang w:val="en-GB" w:eastAsia="zh-TW"/>
        </w:rPr>
        <w:t xml:space="preserve"> (2010)</w:t>
      </w:r>
      <w:r w:rsidR="00C6143B" w:rsidRPr="00C6143B">
        <w:rPr>
          <w:rFonts w:eastAsia="新細明體"/>
          <w:lang w:val="en-GB" w:eastAsia="zh-TW"/>
        </w:rPr>
        <w:t xml:space="preserve"> suggested that rigorous dynamic simulation </w:t>
      </w:r>
      <w:r w:rsidR="00C6143B">
        <w:rPr>
          <w:rFonts w:eastAsia="新細明體"/>
          <w:lang w:val="en-GB" w:eastAsia="zh-TW"/>
        </w:rPr>
        <w:t>may</w:t>
      </w:r>
      <w:r w:rsidR="00C6143B" w:rsidRPr="00C6143B">
        <w:rPr>
          <w:rFonts w:eastAsia="新細明體"/>
          <w:lang w:val="en-GB" w:eastAsia="zh-TW"/>
        </w:rPr>
        <w:t xml:space="preserve"> be u</w:t>
      </w:r>
      <w:r w:rsidR="00C6143B">
        <w:rPr>
          <w:rFonts w:eastAsia="新細明體"/>
          <w:lang w:val="en-GB" w:eastAsia="zh-TW"/>
        </w:rPr>
        <w:t>tilized</w:t>
      </w:r>
      <w:r w:rsidR="00C6143B" w:rsidRPr="00C6143B">
        <w:rPr>
          <w:rFonts w:eastAsia="新細明體"/>
          <w:lang w:val="en-GB" w:eastAsia="zh-TW"/>
        </w:rPr>
        <w:t xml:space="preserve"> as a</w:t>
      </w:r>
      <w:r w:rsidR="00C6143B">
        <w:rPr>
          <w:rFonts w:eastAsia="新細明體"/>
          <w:lang w:val="en-GB" w:eastAsia="zh-TW"/>
        </w:rPr>
        <w:t xml:space="preserve"> </w:t>
      </w:r>
      <w:r w:rsidR="00241B42">
        <w:rPr>
          <w:rFonts w:eastAsia="新細明體"/>
          <w:lang w:val="en-GB" w:eastAsia="zh-TW"/>
        </w:rPr>
        <w:t xml:space="preserve">virtual </w:t>
      </w:r>
      <w:r w:rsidR="00C6143B">
        <w:rPr>
          <w:rFonts w:eastAsia="新細明體"/>
          <w:lang w:val="en-GB" w:eastAsia="zh-TW"/>
        </w:rPr>
        <w:t>alternative</w:t>
      </w:r>
      <w:r w:rsidR="00C6143B" w:rsidRPr="00C6143B">
        <w:rPr>
          <w:rFonts w:eastAsia="新細明體"/>
          <w:lang w:val="en-GB" w:eastAsia="zh-TW"/>
        </w:rPr>
        <w:t xml:space="preserve"> to </w:t>
      </w:r>
      <w:r w:rsidR="00C6143B">
        <w:rPr>
          <w:rFonts w:eastAsia="新細明體"/>
          <w:lang w:val="en-GB" w:eastAsia="zh-TW"/>
        </w:rPr>
        <w:t>reduce</w:t>
      </w:r>
      <w:r w:rsidR="00C6143B" w:rsidRPr="00C6143B">
        <w:rPr>
          <w:rFonts w:eastAsia="新細明體"/>
          <w:lang w:val="en-GB" w:eastAsia="zh-TW"/>
        </w:rPr>
        <w:t xml:space="preserve"> operator training cost. Wang et al.</w:t>
      </w:r>
      <w:r w:rsidR="00C6143B">
        <w:rPr>
          <w:rFonts w:eastAsia="新細明體"/>
          <w:lang w:val="en-GB" w:eastAsia="zh-TW"/>
        </w:rPr>
        <w:t xml:space="preserve"> (2014)</w:t>
      </w:r>
      <w:r w:rsidR="00C6143B" w:rsidRPr="00C6143B">
        <w:rPr>
          <w:rFonts w:eastAsia="新細明體"/>
          <w:lang w:val="en-GB" w:eastAsia="zh-TW"/>
        </w:rPr>
        <w:t xml:space="preserve"> </w:t>
      </w:r>
      <w:r w:rsidR="00C6143B">
        <w:rPr>
          <w:rFonts w:eastAsia="新細明體"/>
          <w:lang w:val="en-GB" w:eastAsia="zh-TW"/>
        </w:rPr>
        <w:t xml:space="preserve">synthesized </w:t>
      </w:r>
      <w:r w:rsidR="00C6143B" w:rsidRPr="00C6143B">
        <w:rPr>
          <w:rFonts w:eastAsia="新細明體"/>
          <w:lang w:val="en-GB" w:eastAsia="zh-TW"/>
        </w:rPr>
        <w:t xml:space="preserve">shutdown </w:t>
      </w:r>
      <w:r w:rsidR="00241B42">
        <w:rPr>
          <w:rFonts w:eastAsia="新細明體"/>
          <w:lang w:val="en-GB" w:eastAsia="zh-TW"/>
        </w:rPr>
        <w:t>procedure</w:t>
      </w:r>
      <w:r w:rsidR="00C6143B" w:rsidRPr="00C6143B">
        <w:rPr>
          <w:rFonts w:eastAsia="新細明體"/>
          <w:lang w:val="en-GB" w:eastAsia="zh-TW"/>
        </w:rPr>
        <w:t>s of th</w:t>
      </w:r>
      <w:r w:rsidR="00241B42">
        <w:rPr>
          <w:rFonts w:eastAsia="新細明體"/>
          <w:lang w:val="en-GB" w:eastAsia="zh-TW"/>
        </w:rPr>
        <w:t>e</w:t>
      </w:r>
      <w:r w:rsidR="00C6143B" w:rsidRPr="00C6143B">
        <w:rPr>
          <w:rFonts w:eastAsia="新細明體"/>
          <w:lang w:val="en-GB" w:eastAsia="zh-TW"/>
        </w:rPr>
        <w:t xml:space="preserve"> naphtha cracking plant </w:t>
      </w:r>
      <w:r w:rsidR="00241B42">
        <w:rPr>
          <w:rFonts w:eastAsia="新細明體"/>
          <w:lang w:val="en-GB" w:eastAsia="zh-TW"/>
        </w:rPr>
        <w:t xml:space="preserve">also </w:t>
      </w:r>
      <w:r w:rsidR="00C6143B">
        <w:rPr>
          <w:rFonts w:eastAsia="新細明體"/>
          <w:lang w:val="en-GB" w:eastAsia="zh-TW"/>
        </w:rPr>
        <w:t xml:space="preserve">by making use of </w:t>
      </w:r>
      <w:r w:rsidR="00C6143B" w:rsidRPr="00C6143B">
        <w:rPr>
          <w:rFonts w:eastAsia="新細明體"/>
          <w:lang w:val="en-GB" w:eastAsia="zh-TW"/>
        </w:rPr>
        <w:t>dynamic simulat</w:t>
      </w:r>
      <w:r w:rsidR="00C6143B">
        <w:rPr>
          <w:rFonts w:eastAsia="新細明體"/>
          <w:lang w:val="en-GB" w:eastAsia="zh-TW"/>
        </w:rPr>
        <w:t>ion</w:t>
      </w:r>
      <w:r w:rsidR="00C6143B" w:rsidRPr="00C6143B">
        <w:rPr>
          <w:rFonts w:eastAsia="新細明體"/>
          <w:lang w:val="en-GB" w:eastAsia="zh-TW"/>
        </w:rPr>
        <w:t>. Wang et al.</w:t>
      </w:r>
      <w:r w:rsidR="00074C2C">
        <w:rPr>
          <w:rFonts w:eastAsia="新細明體"/>
          <w:lang w:val="en-GB" w:eastAsia="zh-TW"/>
        </w:rPr>
        <w:t xml:space="preserve"> (2016)</w:t>
      </w:r>
      <w:r w:rsidR="00C6143B" w:rsidRPr="00C6143B">
        <w:rPr>
          <w:rFonts w:eastAsia="新細明體"/>
          <w:lang w:val="en-GB" w:eastAsia="zh-TW"/>
        </w:rPr>
        <w:t xml:space="preserve"> in a later study showed with dynamic simulation that, by recycling the downstream liquid and vapor products to the inlet of cracked gas compressor, it is possible to significantly reduce </w:t>
      </w:r>
      <w:r w:rsidR="00712BC0">
        <w:rPr>
          <w:rFonts w:eastAsia="新細明體"/>
          <w:lang w:val="en-GB" w:eastAsia="zh-TW"/>
        </w:rPr>
        <w:t>GHG</w:t>
      </w:r>
      <w:r w:rsidR="00C6143B" w:rsidRPr="00C6143B">
        <w:rPr>
          <w:rFonts w:eastAsia="新細明體"/>
          <w:lang w:val="en-GB" w:eastAsia="zh-TW"/>
        </w:rPr>
        <w:t xml:space="preserve"> emission during the start</w:t>
      </w:r>
      <w:r w:rsidR="00074C2C">
        <w:rPr>
          <w:rFonts w:eastAsia="新細明體"/>
          <w:lang w:val="en-GB" w:eastAsia="zh-TW"/>
        </w:rPr>
        <w:t>-</w:t>
      </w:r>
      <w:r w:rsidR="00C6143B" w:rsidRPr="00C6143B">
        <w:rPr>
          <w:rFonts w:eastAsia="新細明體"/>
          <w:lang w:val="en-GB" w:eastAsia="zh-TW"/>
        </w:rPr>
        <w:t>up and shutdown phases of</w:t>
      </w:r>
      <w:r w:rsidR="00712BC0">
        <w:rPr>
          <w:rFonts w:eastAsia="新細明體"/>
          <w:lang w:val="en-GB" w:eastAsia="zh-TW"/>
        </w:rPr>
        <w:t xml:space="preserve"> this</w:t>
      </w:r>
      <w:r w:rsidR="00C6143B" w:rsidRPr="00C6143B">
        <w:rPr>
          <w:rFonts w:eastAsia="新細明體"/>
          <w:lang w:val="en-GB" w:eastAsia="zh-TW"/>
        </w:rPr>
        <w:t xml:space="preserve"> ethylene production process.</w:t>
      </w:r>
    </w:p>
    <w:p w14:paraId="565AC529" w14:textId="4C3BFCB6" w:rsidR="007E6ED1" w:rsidRPr="009B0AE4" w:rsidRDefault="009B0AE4" w:rsidP="007E6ED1">
      <w:pPr>
        <w:pStyle w:val="CETBodytext"/>
        <w:rPr>
          <w:lang w:val="en-GB"/>
        </w:rPr>
      </w:pPr>
      <w:r w:rsidRPr="009B0AE4">
        <w:rPr>
          <w:lang w:val="en-GB"/>
        </w:rPr>
        <w:t xml:space="preserve">Other than the </w:t>
      </w:r>
      <w:r w:rsidR="007E6ED1">
        <w:rPr>
          <w:lang w:val="en-GB"/>
        </w:rPr>
        <w:t xml:space="preserve">much-discussed </w:t>
      </w:r>
      <w:r w:rsidRPr="009B0AE4">
        <w:rPr>
          <w:lang w:val="en-GB"/>
        </w:rPr>
        <w:t xml:space="preserve">tail-chase strategy, notice that in </w:t>
      </w:r>
      <w:r w:rsidR="007E6ED1">
        <w:rPr>
          <w:lang w:val="en-GB"/>
        </w:rPr>
        <w:t xml:space="preserve">even </w:t>
      </w:r>
      <w:r w:rsidRPr="009B0AE4">
        <w:rPr>
          <w:lang w:val="en-GB"/>
        </w:rPr>
        <w:t xml:space="preserve">earlier literature researchers also suggested </w:t>
      </w:r>
      <w:r w:rsidR="007E6ED1">
        <w:rPr>
          <w:lang w:val="en-GB"/>
        </w:rPr>
        <w:t xml:space="preserve">to </w:t>
      </w:r>
      <w:r w:rsidRPr="009B0AE4">
        <w:rPr>
          <w:lang w:val="en-GB"/>
        </w:rPr>
        <w:t xml:space="preserve">run all columns in total-reflux mode. </w:t>
      </w:r>
      <w:proofErr w:type="spellStart"/>
      <w:r w:rsidRPr="009B0AE4">
        <w:rPr>
          <w:lang w:val="en-GB"/>
        </w:rPr>
        <w:t>Gani</w:t>
      </w:r>
      <w:proofErr w:type="spellEnd"/>
      <w:r w:rsidRPr="009B0AE4">
        <w:rPr>
          <w:lang w:val="en-GB"/>
        </w:rPr>
        <w:t xml:space="preserve"> et al.</w:t>
      </w:r>
      <w:r w:rsidR="007E6ED1">
        <w:rPr>
          <w:lang w:val="en-GB"/>
        </w:rPr>
        <w:t xml:space="preserve"> (1998)</w:t>
      </w:r>
      <w:r w:rsidRPr="009B0AE4">
        <w:rPr>
          <w:lang w:val="en-GB"/>
        </w:rPr>
        <w:t xml:space="preserve"> dynamically simulated the total-reflux operation in </w:t>
      </w:r>
      <w:r w:rsidR="00B27E65">
        <w:rPr>
          <w:lang w:val="en-GB"/>
        </w:rPr>
        <w:t xml:space="preserve">an </w:t>
      </w:r>
      <w:r w:rsidRPr="009B0AE4">
        <w:rPr>
          <w:lang w:val="en-GB"/>
        </w:rPr>
        <w:t xml:space="preserve">unsteady process to demonstrate that this </w:t>
      </w:r>
      <w:r w:rsidR="00712BC0">
        <w:rPr>
          <w:lang w:val="en-GB"/>
        </w:rPr>
        <w:t>operating strategy</w:t>
      </w:r>
      <w:r w:rsidRPr="009B0AE4">
        <w:rPr>
          <w:lang w:val="en-GB"/>
        </w:rPr>
        <w:t xml:space="preserve"> can indeed be utilized to reduce </w:t>
      </w:r>
      <w:r w:rsidR="000412B3">
        <w:rPr>
          <w:lang w:val="en-GB"/>
        </w:rPr>
        <w:lastRenderedPageBreak/>
        <w:t>GHG</w:t>
      </w:r>
      <w:r w:rsidRPr="009B0AE4">
        <w:rPr>
          <w:lang w:val="en-GB"/>
        </w:rPr>
        <w:t xml:space="preserve"> emission</w:t>
      </w:r>
      <w:r w:rsidR="007E6ED1">
        <w:rPr>
          <w:lang w:val="en-GB"/>
        </w:rPr>
        <w:t>, while</w:t>
      </w:r>
      <w:r w:rsidRPr="009B0AE4">
        <w:rPr>
          <w:lang w:val="en-GB"/>
        </w:rPr>
        <w:t xml:space="preserve"> </w:t>
      </w:r>
      <w:proofErr w:type="spellStart"/>
      <w:r w:rsidRPr="009B0AE4">
        <w:rPr>
          <w:lang w:val="en-GB"/>
        </w:rPr>
        <w:t>Reepmeyer</w:t>
      </w:r>
      <w:proofErr w:type="spellEnd"/>
      <w:r w:rsidRPr="009B0AE4">
        <w:rPr>
          <w:lang w:val="en-GB"/>
        </w:rPr>
        <w:t xml:space="preserve"> et al.</w:t>
      </w:r>
      <w:r w:rsidR="007E6ED1">
        <w:rPr>
          <w:lang w:val="en-GB"/>
        </w:rPr>
        <w:t xml:space="preserve"> (2003)</w:t>
      </w:r>
      <w:r w:rsidRPr="009B0AE4">
        <w:rPr>
          <w:lang w:val="en-GB"/>
        </w:rPr>
        <w:t xml:space="preserve"> also adopted the total-reflux scheme to facilitate start</w:t>
      </w:r>
      <w:r w:rsidR="00702ED1">
        <w:rPr>
          <w:lang w:val="en-GB"/>
        </w:rPr>
        <w:t>-</w:t>
      </w:r>
      <w:r w:rsidRPr="009B0AE4">
        <w:rPr>
          <w:lang w:val="en-GB"/>
        </w:rPr>
        <w:t>up of a distillation column.</w:t>
      </w:r>
    </w:p>
    <w:p w14:paraId="26DD9723" w14:textId="028C30E6" w:rsidR="009B0AE4" w:rsidRPr="008D3376" w:rsidRDefault="009B0AE4" w:rsidP="009B0AE4">
      <w:pPr>
        <w:pStyle w:val="CETBodytext"/>
        <w:rPr>
          <w:vertAlign w:val="superscript"/>
          <w:lang w:val="en-GB"/>
        </w:rPr>
      </w:pPr>
      <w:r w:rsidRPr="009B0AE4">
        <w:rPr>
          <w:lang w:val="en-GB"/>
        </w:rPr>
        <w:t xml:space="preserve">From the above </w:t>
      </w:r>
      <w:r w:rsidR="007E6ED1">
        <w:rPr>
          <w:lang w:val="en-GB"/>
        </w:rPr>
        <w:t>reviews</w:t>
      </w:r>
      <w:r w:rsidRPr="009B0AE4">
        <w:rPr>
          <w:lang w:val="en-GB"/>
        </w:rPr>
        <w:t>, one can see that the tail-chase and total-reflux</w:t>
      </w:r>
      <w:r w:rsidR="00B27E65" w:rsidRPr="009B0AE4">
        <w:rPr>
          <w:lang w:val="en-GB"/>
        </w:rPr>
        <w:t xml:space="preserve"> strategies</w:t>
      </w:r>
      <w:r w:rsidR="00B27E65">
        <w:rPr>
          <w:lang w:val="en-GB"/>
        </w:rPr>
        <w:t xml:space="preserve"> </w:t>
      </w:r>
      <w:r w:rsidRPr="009B0AE4">
        <w:rPr>
          <w:lang w:val="en-GB"/>
        </w:rPr>
        <w:t xml:space="preserve">were </w:t>
      </w:r>
      <w:r w:rsidR="000412B3">
        <w:rPr>
          <w:lang w:val="en-GB"/>
        </w:rPr>
        <w:t>both</w:t>
      </w:r>
      <w:r w:rsidRPr="009B0AE4">
        <w:rPr>
          <w:lang w:val="en-GB"/>
        </w:rPr>
        <w:t xml:space="preserve"> utilized to handle routine start</w:t>
      </w:r>
      <w:r w:rsidR="00702ED1">
        <w:rPr>
          <w:lang w:val="en-GB"/>
        </w:rPr>
        <w:t>-</w:t>
      </w:r>
      <w:r w:rsidRPr="009B0AE4">
        <w:rPr>
          <w:lang w:val="en-GB"/>
        </w:rPr>
        <w:t xml:space="preserve">up and shutdown of </w:t>
      </w:r>
      <w:r w:rsidR="00B27E65">
        <w:rPr>
          <w:lang w:val="en-GB"/>
        </w:rPr>
        <w:t>the</w:t>
      </w:r>
      <w:r w:rsidRPr="009B0AE4">
        <w:rPr>
          <w:lang w:val="en-GB"/>
        </w:rPr>
        <w:t xml:space="preserve"> typical chemical plant</w:t>
      </w:r>
      <w:r w:rsidR="00B27E65">
        <w:rPr>
          <w:lang w:val="en-GB"/>
        </w:rPr>
        <w:t>s</w:t>
      </w:r>
      <w:r w:rsidRPr="009B0AE4">
        <w:rPr>
          <w:lang w:val="en-GB"/>
        </w:rPr>
        <w:t xml:space="preserve">. In the present study, </w:t>
      </w:r>
      <w:r w:rsidR="00586524">
        <w:rPr>
          <w:lang w:val="en-GB"/>
        </w:rPr>
        <w:t>these start</w:t>
      </w:r>
      <w:r w:rsidR="00E34D6A">
        <w:rPr>
          <w:lang w:val="en-GB"/>
        </w:rPr>
        <w:t>-</w:t>
      </w:r>
      <w:r w:rsidR="00586524">
        <w:rPr>
          <w:lang w:val="en-GB"/>
        </w:rPr>
        <w:t xml:space="preserve">up/shutdown </w:t>
      </w:r>
      <w:r w:rsidRPr="009B0AE4">
        <w:rPr>
          <w:lang w:val="en-GB"/>
        </w:rPr>
        <w:t xml:space="preserve">experiences </w:t>
      </w:r>
      <w:r w:rsidR="00586524">
        <w:rPr>
          <w:lang w:val="en-GB"/>
        </w:rPr>
        <w:t>are</w:t>
      </w:r>
      <w:r w:rsidRPr="009B0AE4">
        <w:rPr>
          <w:lang w:val="en-GB"/>
        </w:rPr>
        <w:t xml:space="preserve"> extended to </w:t>
      </w:r>
      <w:r w:rsidR="00586524">
        <w:rPr>
          <w:lang w:val="en-GB"/>
        </w:rPr>
        <w:t>navigate the back-end subprocess in</w:t>
      </w:r>
      <w:r w:rsidRPr="009B0AE4">
        <w:rPr>
          <w:lang w:val="en-GB"/>
        </w:rPr>
        <w:t xml:space="preserve"> abnormal scenarios that may occur in </w:t>
      </w:r>
      <w:r w:rsidR="00586524">
        <w:rPr>
          <w:lang w:val="en-GB"/>
        </w:rPr>
        <w:t>a</w:t>
      </w:r>
      <w:r w:rsidRPr="009B0AE4">
        <w:rPr>
          <w:lang w:val="en-GB"/>
        </w:rPr>
        <w:t xml:space="preserve"> </w:t>
      </w:r>
      <w:r w:rsidR="00586524">
        <w:rPr>
          <w:lang w:val="en-GB"/>
        </w:rPr>
        <w:t xml:space="preserve">naphtha cracking </w:t>
      </w:r>
      <w:r w:rsidRPr="009B0AE4">
        <w:rPr>
          <w:lang w:val="en-GB"/>
        </w:rPr>
        <w:t xml:space="preserve">plant. Experiences gained from procedure synthesis in this </w:t>
      </w:r>
      <w:r w:rsidR="00F7346C">
        <w:rPr>
          <w:lang w:val="en-GB"/>
        </w:rPr>
        <w:t>working</w:t>
      </w:r>
      <w:r w:rsidRPr="009B0AE4">
        <w:rPr>
          <w:lang w:val="en-GB"/>
        </w:rPr>
        <w:t xml:space="preserve"> example may again be extended to other processes of the same</w:t>
      </w:r>
      <w:r w:rsidR="00B27E65">
        <w:rPr>
          <w:lang w:val="en-GB"/>
        </w:rPr>
        <w:t xml:space="preserve"> </w:t>
      </w:r>
      <w:r w:rsidRPr="009B0AE4">
        <w:rPr>
          <w:lang w:val="en-GB"/>
        </w:rPr>
        <w:t>structure.</w:t>
      </w:r>
      <w:r>
        <w:rPr>
          <w:rFonts w:eastAsia="新細明體" w:hint="eastAsia"/>
          <w:lang w:val="en-GB" w:eastAsia="zh-TW"/>
        </w:rPr>
        <w:t xml:space="preserve"> </w:t>
      </w:r>
      <w:r w:rsidRPr="009B0AE4">
        <w:rPr>
          <w:lang w:val="en-GB"/>
        </w:rPr>
        <w:t>Due to space limitation, discussions in the current paper focus only on operating the back</w:t>
      </w:r>
      <w:r w:rsidR="00D1658C">
        <w:rPr>
          <w:lang w:val="en-GB"/>
        </w:rPr>
        <w:t>-</w:t>
      </w:r>
      <w:r w:rsidRPr="009B0AE4">
        <w:rPr>
          <w:lang w:val="en-GB"/>
        </w:rPr>
        <w:t xml:space="preserve">end </w:t>
      </w:r>
      <w:r w:rsidR="00D1658C">
        <w:rPr>
          <w:lang w:val="en-GB"/>
        </w:rPr>
        <w:t>subprocess</w:t>
      </w:r>
      <w:r w:rsidRPr="009B0AE4">
        <w:rPr>
          <w:lang w:val="en-GB"/>
        </w:rPr>
        <w:t xml:space="preserve">, i.e., the distillation train. On the basis of the plant operational experiences gained by </w:t>
      </w:r>
      <w:proofErr w:type="spellStart"/>
      <w:r w:rsidRPr="009B0AE4">
        <w:rPr>
          <w:lang w:val="en-GB"/>
        </w:rPr>
        <w:t>Reepmeyer</w:t>
      </w:r>
      <w:proofErr w:type="spellEnd"/>
      <w:r w:rsidRPr="009B0AE4">
        <w:rPr>
          <w:lang w:val="en-GB"/>
        </w:rPr>
        <w:t xml:space="preserve"> et al.</w:t>
      </w:r>
      <w:r w:rsidR="00D1658C">
        <w:rPr>
          <w:lang w:val="en-GB"/>
        </w:rPr>
        <w:t xml:space="preserve"> (2003)</w:t>
      </w:r>
      <w:r w:rsidRPr="009B0AE4">
        <w:rPr>
          <w:lang w:val="en-GB"/>
        </w:rPr>
        <w:t xml:space="preserve">, </w:t>
      </w:r>
      <w:proofErr w:type="spellStart"/>
      <w:r w:rsidRPr="009B0AE4">
        <w:rPr>
          <w:lang w:val="en-GB"/>
        </w:rPr>
        <w:t>Chenevert</w:t>
      </w:r>
      <w:proofErr w:type="spellEnd"/>
      <w:r w:rsidRPr="009B0AE4">
        <w:rPr>
          <w:lang w:val="en-GB"/>
        </w:rPr>
        <w:t xml:space="preserve"> et al. </w:t>
      </w:r>
      <w:r w:rsidR="00D1658C">
        <w:rPr>
          <w:lang w:val="en-GB"/>
        </w:rPr>
        <w:t xml:space="preserve">(2005) </w:t>
      </w:r>
      <w:r w:rsidRPr="009B0AE4">
        <w:rPr>
          <w:lang w:val="en-GB"/>
        </w:rPr>
        <w:t>and in many other operation-related studies,</w:t>
      </w:r>
      <w:r w:rsidR="00D1658C">
        <w:rPr>
          <w:lang w:val="en-GB"/>
        </w:rPr>
        <w:t xml:space="preserve"> </w:t>
      </w:r>
      <w:r w:rsidR="007A4A6F">
        <w:rPr>
          <w:lang w:val="en-GB"/>
        </w:rPr>
        <w:t xml:space="preserve">e.g., </w:t>
      </w:r>
      <w:r w:rsidR="00A40C97">
        <w:rPr>
          <w:lang w:val="en-GB"/>
        </w:rPr>
        <w:t>Ge et al. (2021)</w:t>
      </w:r>
      <w:r w:rsidR="007A4A6F">
        <w:rPr>
          <w:lang w:val="en-GB"/>
        </w:rPr>
        <w:t xml:space="preserve">, </w:t>
      </w:r>
      <w:r w:rsidRPr="009B0AE4">
        <w:rPr>
          <w:lang w:val="en-GB"/>
        </w:rPr>
        <w:t xml:space="preserve">new improvements have been </w:t>
      </w:r>
      <w:r w:rsidR="00B27E65">
        <w:rPr>
          <w:lang w:val="en-GB"/>
        </w:rPr>
        <w:t>developed</w:t>
      </w:r>
      <w:r w:rsidRPr="009B0AE4">
        <w:rPr>
          <w:lang w:val="en-GB"/>
        </w:rPr>
        <w:t xml:space="preserve"> in the present work for use to synthesize remedial measures against the anticipated failures. Specifically, these </w:t>
      </w:r>
      <w:r w:rsidR="00B27E65">
        <w:rPr>
          <w:lang w:val="en-GB"/>
        </w:rPr>
        <w:t>measure</w:t>
      </w:r>
      <w:r w:rsidRPr="009B0AE4">
        <w:rPr>
          <w:lang w:val="en-GB"/>
        </w:rPr>
        <w:t>s are supposed to be use</w:t>
      </w:r>
      <w:r w:rsidR="000412B3">
        <w:rPr>
          <w:lang w:val="en-GB"/>
        </w:rPr>
        <w:t>ful</w:t>
      </w:r>
      <w:r w:rsidRPr="009B0AE4">
        <w:rPr>
          <w:lang w:val="en-GB"/>
        </w:rPr>
        <w:t xml:space="preserve"> for manipulating the separation systems against the incidence of a front-end equipment breakdown in the naphtha cracking plant. More specifically, the original structure of distillation train is </w:t>
      </w:r>
      <w:r w:rsidR="00F7346C">
        <w:rPr>
          <w:lang w:val="en-GB"/>
        </w:rPr>
        <w:t>altered</w:t>
      </w:r>
      <w:r w:rsidRPr="009B0AE4">
        <w:rPr>
          <w:lang w:val="en-GB"/>
        </w:rPr>
        <w:t xml:space="preserve"> for the purpose of performing tail-chase</w:t>
      </w:r>
      <w:r w:rsidR="000412B3">
        <w:rPr>
          <w:lang w:val="en-GB"/>
        </w:rPr>
        <w:t xml:space="preserve"> and</w:t>
      </w:r>
      <w:r w:rsidRPr="009B0AE4">
        <w:rPr>
          <w:lang w:val="en-GB"/>
        </w:rPr>
        <w:t xml:space="preserve"> </w:t>
      </w:r>
      <w:r w:rsidR="000412B3" w:rsidRPr="009B0AE4">
        <w:rPr>
          <w:lang w:val="en-GB"/>
        </w:rPr>
        <w:t xml:space="preserve">total-reflux </w:t>
      </w:r>
      <w:r w:rsidRPr="009B0AE4">
        <w:rPr>
          <w:lang w:val="en-GB"/>
        </w:rPr>
        <w:t xml:space="preserve">operations so as to minimize the total quantity of </w:t>
      </w:r>
      <w:r w:rsidR="00F7346C">
        <w:rPr>
          <w:lang w:val="en-GB"/>
        </w:rPr>
        <w:t xml:space="preserve">emitted </w:t>
      </w:r>
      <w:r w:rsidR="008D3376">
        <w:rPr>
          <w:lang w:val="en-GB"/>
        </w:rPr>
        <w:t>GHGs</w:t>
      </w:r>
      <w:r w:rsidRPr="009B0AE4">
        <w:rPr>
          <w:lang w:val="en-GB"/>
        </w:rPr>
        <w:t xml:space="preserve"> and also </w:t>
      </w:r>
      <w:r w:rsidR="008D3376">
        <w:rPr>
          <w:lang w:val="en-GB"/>
        </w:rPr>
        <w:t xml:space="preserve">the </w:t>
      </w:r>
      <w:r w:rsidRPr="009B0AE4">
        <w:rPr>
          <w:lang w:val="en-GB"/>
        </w:rPr>
        <w:t xml:space="preserve">total financial loss in cases when the upstream feed supply is </w:t>
      </w:r>
      <w:r w:rsidR="000412B3">
        <w:rPr>
          <w:lang w:val="en-GB"/>
        </w:rPr>
        <w:t>interrupted</w:t>
      </w:r>
      <w:r w:rsidR="004658CA">
        <w:rPr>
          <w:lang w:val="en-GB"/>
        </w:rPr>
        <w:t xml:space="preserve"> due to</w:t>
      </w:r>
      <w:r w:rsidRPr="009B0AE4">
        <w:rPr>
          <w:lang w:val="en-GB"/>
        </w:rPr>
        <w:t xml:space="preserve"> front-end failures. The detailed operation steps have been developed according to the above</w:t>
      </w:r>
      <w:r w:rsidR="00F7346C">
        <w:rPr>
          <w:lang w:val="en-GB"/>
        </w:rPr>
        <w:t>-mentioned</w:t>
      </w:r>
      <w:r w:rsidRPr="009B0AE4">
        <w:rPr>
          <w:lang w:val="en-GB"/>
        </w:rPr>
        <w:t xml:space="preserve"> </w:t>
      </w:r>
      <w:r w:rsidR="008D3376">
        <w:rPr>
          <w:lang w:val="en-GB"/>
        </w:rPr>
        <w:t>heuristic</w:t>
      </w:r>
      <w:r w:rsidR="000412B3">
        <w:rPr>
          <w:lang w:val="en-GB"/>
        </w:rPr>
        <w:t xml:space="preserve"> </w:t>
      </w:r>
      <w:r w:rsidRPr="009B0AE4">
        <w:rPr>
          <w:lang w:val="en-GB"/>
        </w:rPr>
        <w:t>tactics, while feasibility and effectiveness of the</w:t>
      </w:r>
      <w:r w:rsidR="00F7346C">
        <w:rPr>
          <w:lang w:val="en-GB"/>
        </w:rPr>
        <w:t>se</w:t>
      </w:r>
      <w:r w:rsidRPr="009B0AE4">
        <w:rPr>
          <w:lang w:val="en-GB"/>
        </w:rPr>
        <w:t xml:space="preserve"> procedures were confirmed with credible commercial software, e.g., ASPEN PLUS DYNAMICS</w:t>
      </w:r>
      <w:r w:rsidR="008D3376">
        <w:rPr>
          <w:vertAlign w:val="superscript"/>
          <w:lang w:val="en-GB"/>
        </w:rPr>
        <w:fldChar w:fldCharType="begin"/>
      </w:r>
      <w:r w:rsidR="008D3376">
        <w:rPr>
          <w:rFonts w:eastAsia="新細明體"/>
          <w:vertAlign w:val="superscript"/>
          <w:lang w:val="en-GB" w:eastAsia="zh-TW"/>
        </w:rPr>
        <w:instrText xml:space="preserve"> </w:instrText>
      </w:r>
      <w:r w:rsidR="008D3376">
        <w:rPr>
          <w:rFonts w:eastAsia="新細明體" w:hint="eastAsia"/>
          <w:vertAlign w:val="superscript"/>
          <w:lang w:val="en-GB" w:eastAsia="zh-TW"/>
        </w:rPr>
        <w:instrText>eq \o\ac(</w:instrText>
      </w:r>
      <w:r w:rsidR="008D3376" w:rsidRPr="008D3376">
        <w:rPr>
          <w:rFonts w:eastAsia="新細明體" w:hint="eastAsia"/>
          <w:position w:val="5"/>
          <w:sz w:val="12"/>
          <w:lang w:val="en-GB" w:eastAsia="zh-TW"/>
        </w:rPr>
        <w:instrText>○</w:instrText>
      </w:r>
      <w:r w:rsidR="008D3376" w:rsidRPr="008D3376">
        <w:rPr>
          <w:rFonts w:eastAsia="新細明體" w:hint="eastAsia"/>
          <w:position w:val="5"/>
          <w:sz w:val="12"/>
          <w:lang w:val="en-GB" w:eastAsia="zh-TW"/>
        </w:rPr>
        <w:instrText>,</w:instrText>
      </w:r>
      <w:r w:rsidR="008D3376" w:rsidRPr="008D3376">
        <w:rPr>
          <w:rFonts w:eastAsia="新細明體" w:hint="eastAsia"/>
          <w:position w:val="6"/>
          <w:sz w:val="8"/>
          <w:lang w:val="en-GB" w:eastAsia="zh-TW"/>
        </w:rPr>
        <w:instrText>R</w:instrText>
      </w:r>
      <w:r w:rsidR="008D3376">
        <w:rPr>
          <w:rFonts w:eastAsia="新細明體" w:hint="eastAsia"/>
          <w:vertAlign w:val="superscript"/>
          <w:lang w:val="en-GB" w:eastAsia="zh-TW"/>
        </w:rPr>
        <w:instrText>)</w:instrText>
      </w:r>
      <w:r w:rsidR="008D3376">
        <w:rPr>
          <w:vertAlign w:val="superscript"/>
          <w:lang w:val="en-GB"/>
        </w:rPr>
        <w:fldChar w:fldCharType="end"/>
      </w:r>
      <w:r w:rsidR="008D3376">
        <w:rPr>
          <w:vertAlign w:val="superscript"/>
          <w:lang w:val="en-GB"/>
        </w:rPr>
        <w:t>.</w:t>
      </w:r>
    </w:p>
    <w:p w14:paraId="5741900F" w14:textId="59C06E88" w:rsidR="00453E24" w:rsidRDefault="00F75C6F" w:rsidP="00453E24">
      <w:pPr>
        <w:pStyle w:val="CETHeading1"/>
      </w:pPr>
      <w:r>
        <w:t>E</w:t>
      </w:r>
      <w:r w:rsidR="003504DF">
        <w:t>mergency response operations</w:t>
      </w:r>
    </w:p>
    <w:p w14:paraId="09406386" w14:textId="47FAE0C6" w:rsidR="00453E24" w:rsidRDefault="0078605A" w:rsidP="00453E24">
      <w:pPr>
        <w:pStyle w:val="CETBodytext"/>
      </w:pPr>
      <w:r w:rsidRPr="0078605A">
        <w:t xml:space="preserve">The </w:t>
      </w:r>
      <w:r w:rsidR="005F0257">
        <w:t xml:space="preserve">emergency </w:t>
      </w:r>
      <w:r>
        <w:t xml:space="preserve">response </w:t>
      </w:r>
      <w:r w:rsidRPr="0078605A">
        <w:t xml:space="preserve">operations considered </w:t>
      </w:r>
      <w:r>
        <w:t>here</w:t>
      </w:r>
      <w:r w:rsidRPr="0078605A">
        <w:t xml:space="preserve"> </w:t>
      </w:r>
      <w:r w:rsidR="005F0257">
        <w:t xml:space="preserve">are </w:t>
      </w:r>
      <w:r w:rsidR="005314E5">
        <w:t xml:space="preserve">supposed to be </w:t>
      </w:r>
      <w:r w:rsidR="005F0257">
        <w:t>performed</w:t>
      </w:r>
      <w:r w:rsidR="008B5313">
        <w:t xml:space="preserve"> </w:t>
      </w:r>
      <w:r w:rsidR="00455EF7">
        <w:t>sequential</w:t>
      </w:r>
      <w:r w:rsidR="005F0257">
        <w:t>ly</w:t>
      </w:r>
      <w:r w:rsidRPr="0078605A">
        <w:t xml:space="preserve">. </w:t>
      </w:r>
      <w:r w:rsidR="006C4836">
        <w:t>T</w:t>
      </w:r>
      <w:r w:rsidRPr="0078605A">
        <w:t>he</w:t>
      </w:r>
      <w:r w:rsidR="005F0257">
        <w:t xml:space="preserve"> en</w:t>
      </w:r>
      <w:r w:rsidR="006C4836">
        <w:t>tire</w:t>
      </w:r>
      <w:r w:rsidRPr="0078605A">
        <w:t xml:space="preserve"> plant </w:t>
      </w:r>
      <w:r w:rsidR="006C4836">
        <w:t>is</w:t>
      </w:r>
      <w:r w:rsidR="00554854">
        <w:t xml:space="preserve"> assumed to be</w:t>
      </w:r>
      <w:r w:rsidR="006C4836">
        <w:t xml:space="preserve"> operated</w:t>
      </w:r>
      <w:r w:rsidR="00554854">
        <w:t xml:space="preserve"> </w:t>
      </w:r>
      <w:r w:rsidRPr="0078605A">
        <w:t xml:space="preserve">at the designated steady state </w:t>
      </w:r>
      <w:r w:rsidR="00F75C6F">
        <w:t xml:space="preserve">during </w:t>
      </w:r>
      <w:r w:rsidR="005F0257">
        <w:t xml:space="preserve">the initial </w:t>
      </w:r>
      <w:r w:rsidR="00F75C6F">
        <w:t>period</w:t>
      </w:r>
      <w:r w:rsidR="005F0257">
        <w:t xml:space="preserve"> </w:t>
      </w:r>
      <w:r w:rsidR="006C4836">
        <w:t>but</w:t>
      </w:r>
      <w:r w:rsidRPr="0078605A">
        <w:t xml:space="preserve">, after a long </w:t>
      </w:r>
      <w:r w:rsidR="00B73612">
        <w:t>span</w:t>
      </w:r>
      <w:r w:rsidRPr="0078605A">
        <w:t xml:space="preserve"> of </w:t>
      </w:r>
      <w:r w:rsidR="00B73612">
        <w:t xml:space="preserve">continuous </w:t>
      </w:r>
      <w:r w:rsidRPr="0078605A">
        <w:t>operation,</w:t>
      </w:r>
      <w:r w:rsidR="006C4836">
        <w:t xml:space="preserve"> the</w:t>
      </w:r>
      <w:r w:rsidRPr="0078605A">
        <w:t xml:space="preserve"> </w:t>
      </w:r>
      <w:r w:rsidR="00E91594">
        <w:t xml:space="preserve">process </w:t>
      </w:r>
      <w:r w:rsidR="006C4836">
        <w:t>stream</w:t>
      </w:r>
      <w:r w:rsidRPr="0078605A">
        <w:t xml:space="preserve">(s) </w:t>
      </w:r>
      <w:r w:rsidR="00E91594">
        <w:t>between</w:t>
      </w:r>
      <w:r w:rsidR="006C4836">
        <w:t xml:space="preserve"> the front</w:t>
      </w:r>
      <w:r w:rsidR="00E91594">
        <w:t xml:space="preserve"> and </w:t>
      </w:r>
      <w:r w:rsidR="009E4078">
        <w:t>back</w:t>
      </w:r>
      <w:r w:rsidR="00E91594">
        <w:t xml:space="preserve"> </w:t>
      </w:r>
      <w:r w:rsidR="009E4078">
        <w:t>end</w:t>
      </w:r>
      <w:r w:rsidR="00E91594">
        <w:t>s</w:t>
      </w:r>
      <w:r w:rsidR="009E4078">
        <w:t xml:space="preserve"> </w:t>
      </w:r>
      <w:r w:rsidR="00E91594">
        <w:t>may be discontinued due to one or more</w:t>
      </w:r>
      <w:r w:rsidR="00E91594" w:rsidRPr="00E91594">
        <w:t xml:space="preserve"> </w:t>
      </w:r>
      <w:r w:rsidR="00B73612">
        <w:t xml:space="preserve">front-end </w:t>
      </w:r>
      <w:r w:rsidR="00E91594">
        <w:t>failure</w:t>
      </w:r>
      <w:r w:rsidR="00E91594" w:rsidRPr="00E91594">
        <w:t xml:space="preserve"> </w:t>
      </w:r>
      <w:r w:rsidR="00B73612" w:rsidRPr="00E91594">
        <w:t>(e.g., reactor outage, pump or compressor malfunction)</w:t>
      </w:r>
      <w:r w:rsidR="00B73612">
        <w:t xml:space="preserve"> </w:t>
      </w:r>
      <w:r w:rsidR="005F0257">
        <w:t xml:space="preserve">taking place </w:t>
      </w:r>
      <w:r w:rsidR="00B73612">
        <w:t>unexpectedly</w:t>
      </w:r>
      <w:r w:rsidRPr="0078605A">
        <w:t>. According to the o</w:t>
      </w:r>
      <w:r>
        <w:t>perational</w:t>
      </w:r>
      <w:r w:rsidRPr="0078605A">
        <w:t xml:space="preserve"> experiences reviewed </w:t>
      </w:r>
      <w:r w:rsidR="00B73612">
        <w:t>above</w:t>
      </w:r>
      <w:r w:rsidRPr="0078605A">
        <w:t xml:space="preserve">, </w:t>
      </w:r>
      <w:r>
        <w:t xml:space="preserve">the </w:t>
      </w:r>
      <w:r w:rsidRPr="0078605A">
        <w:t xml:space="preserve">tail-chase and total-reflux </w:t>
      </w:r>
      <w:r w:rsidR="009E4078">
        <w:t xml:space="preserve">tactics </w:t>
      </w:r>
      <w:r w:rsidR="00512C83">
        <w:t>may</w:t>
      </w:r>
      <w:r w:rsidR="005F0257">
        <w:t xml:space="preserve"> </w:t>
      </w:r>
      <w:r w:rsidR="00B73612">
        <w:t xml:space="preserve">be </w:t>
      </w:r>
      <w:r w:rsidR="00FA2AAB">
        <w:t>implemented</w:t>
      </w:r>
      <w:r w:rsidR="00B73612">
        <w:t xml:space="preserve"> </w:t>
      </w:r>
      <w:r w:rsidRPr="0078605A">
        <w:t xml:space="preserve">to avoid </w:t>
      </w:r>
      <w:r w:rsidR="009E4078">
        <w:t>excessive GHG emission</w:t>
      </w:r>
      <w:r w:rsidRPr="0078605A">
        <w:t xml:space="preserve">. </w:t>
      </w:r>
      <w:r w:rsidR="009E4078">
        <w:t>I</w:t>
      </w:r>
      <w:r w:rsidRPr="0078605A">
        <w:t>f</w:t>
      </w:r>
      <w:r w:rsidR="00E91594">
        <w:t xml:space="preserve">, at a later </w:t>
      </w:r>
      <w:r w:rsidR="00512C83">
        <w:t>instance</w:t>
      </w:r>
      <w:r w:rsidR="00E91594">
        <w:t xml:space="preserve">, </w:t>
      </w:r>
      <w:r w:rsidRPr="0078605A">
        <w:t>the failed unit is</w:t>
      </w:r>
      <w:r w:rsidR="009E4078">
        <w:t xml:space="preserve"> </w:t>
      </w:r>
      <w:r w:rsidRPr="0078605A">
        <w:t xml:space="preserve">repaired and brought back to </w:t>
      </w:r>
      <w:r w:rsidR="00FA2AAB">
        <w:t>normal</w:t>
      </w:r>
      <w:r w:rsidRPr="0078605A">
        <w:t xml:space="preserve">, the </w:t>
      </w:r>
      <w:r w:rsidR="005F0257">
        <w:t>a</w:t>
      </w:r>
      <w:r w:rsidR="00FA2AAB">
        <w:t>forementioned process</w:t>
      </w:r>
      <w:r w:rsidR="005F0257">
        <w:t xml:space="preserve"> stream(s)</w:t>
      </w:r>
      <w:r w:rsidRPr="0078605A">
        <w:t xml:space="preserve"> naturally </w:t>
      </w:r>
      <w:r w:rsidR="00AC59DE">
        <w:t>should</w:t>
      </w:r>
      <w:r w:rsidR="00FA2AAB">
        <w:t xml:space="preserve"> </w:t>
      </w:r>
      <w:r w:rsidR="005F0257">
        <w:t>resume</w:t>
      </w:r>
      <w:r w:rsidRPr="0078605A">
        <w:t xml:space="preserve"> and a recovery procedure </w:t>
      </w:r>
      <w:r w:rsidR="00AC59DE">
        <w:t>is</w:t>
      </w:r>
      <w:r w:rsidRPr="0078605A">
        <w:t xml:space="preserve"> </w:t>
      </w:r>
      <w:r w:rsidR="00FA2AAB">
        <w:t>then</w:t>
      </w:r>
      <w:r w:rsidRPr="0078605A">
        <w:t xml:space="preserve"> executed to steer the</w:t>
      </w:r>
      <w:r w:rsidR="00822011">
        <w:t xml:space="preserve"> </w:t>
      </w:r>
      <w:r w:rsidRPr="0078605A">
        <w:t xml:space="preserve">system to its original </w:t>
      </w:r>
      <w:r w:rsidR="00375FE7">
        <w:t>condition</w:t>
      </w:r>
      <w:r w:rsidR="00453E24">
        <w:t>.</w:t>
      </w:r>
    </w:p>
    <w:p w14:paraId="677EBFF0" w14:textId="254348F8" w:rsidR="00600535" w:rsidRDefault="00BA4CDC" w:rsidP="00600535">
      <w:pPr>
        <w:pStyle w:val="CETHeading1"/>
        <w:tabs>
          <w:tab w:val="right" w:pos="7100"/>
        </w:tabs>
        <w:jc w:val="both"/>
        <w:rPr>
          <w:lang w:val="en-GB"/>
        </w:rPr>
      </w:pPr>
      <w:r>
        <w:rPr>
          <w:lang w:val="en-GB"/>
        </w:rPr>
        <w:t>Steady-state</w:t>
      </w:r>
      <w:r w:rsidR="008C16FA">
        <w:rPr>
          <w:lang w:val="en-GB"/>
        </w:rPr>
        <w:t xml:space="preserve"> naphtha cracking process</w:t>
      </w:r>
    </w:p>
    <w:p w14:paraId="74149843" w14:textId="6B07C04C" w:rsidR="00A0169A" w:rsidRDefault="00A0169A" w:rsidP="00A0169A">
      <w:pPr>
        <w:pStyle w:val="CETBodytext"/>
        <w:rPr>
          <w:lang w:val="en-GB"/>
        </w:rPr>
      </w:pPr>
      <w:r>
        <w:rPr>
          <w:lang w:val="en-GB"/>
        </w:rPr>
        <w:t>A</w:t>
      </w:r>
      <w:r w:rsidRPr="00A0169A">
        <w:rPr>
          <w:lang w:val="en-GB"/>
        </w:rPr>
        <w:t xml:space="preserve"> </w:t>
      </w:r>
      <w:r w:rsidR="00B462BF">
        <w:rPr>
          <w:lang w:val="en-GB"/>
        </w:rPr>
        <w:t>complete</w:t>
      </w:r>
      <w:r w:rsidRPr="00A0169A">
        <w:rPr>
          <w:lang w:val="en-GB"/>
        </w:rPr>
        <w:t xml:space="preserve"> </w:t>
      </w:r>
      <w:r w:rsidR="00722DBF">
        <w:rPr>
          <w:lang w:val="en-GB"/>
        </w:rPr>
        <w:t xml:space="preserve">process flow diagram (PFD) of </w:t>
      </w:r>
      <w:r w:rsidRPr="00A0169A">
        <w:rPr>
          <w:lang w:val="en-GB"/>
        </w:rPr>
        <w:t xml:space="preserve">naphtha cracking </w:t>
      </w:r>
      <w:r>
        <w:rPr>
          <w:lang w:val="en-GB"/>
        </w:rPr>
        <w:t>can be found in</w:t>
      </w:r>
      <w:r w:rsidRPr="00A0169A">
        <w:rPr>
          <w:lang w:val="en-GB"/>
        </w:rPr>
        <w:t xml:space="preserve"> Yang et al.</w:t>
      </w:r>
      <w:r w:rsidR="00BA4CDC">
        <w:rPr>
          <w:lang w:val="en-GB"/>
        </w:rPr>
        <w:t xml:space="preserve"> (2010).</w:t>
      </w:r>
      <w:r w:rsidRPr="00A0169A">
        <w:t xml:space="preserve"> </w:t>
      </w:r>
      <w:r w:rsidRPr="00A0169A">
        <w:rPr>
          <w:lang w:val="en-GB"/>
        </w:rPr>
        <w:t xml:space="preserve">For the sake of </w:t>
      </w:r>
      <w:r w:rsidR="00BA4CDC">
        <w:rPr>
          <w:lang w:val="en-GB"/>
        </w:rPr>
        <w:t xml:space="preserve">facilitating clear </w:t>
      </w:r>
      <w:r w:rsidRPr="00A0169A">
        <w:rPr>
          <w:lang w:val="en-GB"/>
        </w:rPr>
        <w:t>illustration, only the distillation train formed by de-</w:t>
      </w:r>
      <w:proofErr w:type="spellStart"/>
      <w:r w:rsidRPr="00A0169A">
        <w:rPr>
          <w:lang w:val="en-GB"/>
        </w:rPr>
        <w:t>ethanizer</w:t>
      </w:r>
      <w:proofErr w:type="spellEnd"/>
      <w:r w:rsidRPr="00A0169A">
        <w:rPr>
          <w:lang w:val="en-GB"/>
        </w:rPr>
        <w:t>, de-</w:t>
      </w:r>
      <w:proofErr w:type="spellStart"/>
      <w:r w:rsidRPr="00A0169A">
        <w:rPr>
          <w:lang w:val="en-GB"/>
        </w:rPr>
        <w:t>propanizer</w:t>
      </w:r>
      <w:proofErr w:type="spellEnd"/>
      <w:r w:rsidRPr="00A0169A">
        <w:rPr>
          <w:lang w:val="en-GB"/>
        </w:rPr>
        <w:t xml:space="preserve"> and de-</w:t>
      </w:r>
      <w:proofErr w:type="spellStart"/>
      <w:r w:rsidRPr="00A0169A">
        <w:rPr>
          <w:lang w:val="en-GB"/>
        </w:rPr>
        <w:t>butanizer</w:t>
      </w:r>
      <w:proofErr w:type="spellEnd"/>
      <w:r w:rsidRPr="00A0169A">
        <w:rPr>
          <w:lang w:val="en-GB"/>
        </w:rPr>
        <w:t xml:space="preserve"> </w:t>
      </w:r>
      <w:r w:rsidR="00B462BF">
        <w:rPr>
          <w:lang w:val="en-GB"/>
        </w:rPr>
        <w:t xml:space="preserve">in this PFD </w:t>
      </w:r>
      <w:r w:rsidRPr="00A0169A">
        <w:rPr>
          <w:lang w:val="en-GB"/>
        </w:rPr>
        <w:t xml:space="preserve">is </w:t>
      </w:r>
      <w:r w:rsidR="00BA4CDC">
        <w:rPr>
          <w:lang w:val="en-GB"/>
        </w:rPr>
        <w:t>treated as the back-end subprocess in this study</w:t>
      </w:r>
      <w:r w:rsidRPr="00A0169A">
        <w:rPr>
          <w:lang w:val="en-GB"/>
        </w:rPr>
        <w:t xml:space="preserve">.  </w:t>
      </w:r>
      <w:r w:rsidR="005903F4">
        <w:rPr>
          <w:lang w:val="en-GB"/>
        </w:rPr>
        <w:t>Notice</w:t>
      </w:r>
      <w:r w:rsidR="00BA4CDC" w:rsidRPr="00BA4CDC">
        <w:rPr>
          <w:lang w:val="en-GB"/>
        </w:rPr>
        <w:t xml:space="preserve"> that </w:t>
      </w:r>
      <w:r w:rsidR="005903F4" w:rsidRPr="005903F4">
        <w:rPr>
          <w:lang w:val="en-GB"/>
        </w:rPr>
        <w:t>the</w:t>
      </w:r>
      <w:r w:rsidR="00B462BF">
        <w:rPr>
          <w:lang w:val="en-GB"/>
        </w:rPr>
        <w:t>se</w:t>
      </w:r>
      <w:r w:rsidR="005903F4" w:rsidRPr="005903F4">
        <w:rPr>
          <w:lang w:val="en-GB"/>
        </w:rPr>
        <w:t xml:space="preserve"> </w:t>
      </w:r>
      <w:r w:rsidR="00EA46FD">
        <w:rPr>
          <w:lang w:val="en-GB"/>
        </w:rPr>
        <w:t xml:space="preserve">three </w:t>
      </w:r>
      <w:r w:rsidR="005903F4" w:rsidRPr="005903F4">
        <w:rPr>
          <w:lang w:val="en-GB"/>
        </w:rPr>
        <w:t xml:space="preserve">individual columns are labelled as T-4001, T-4501 and T-5001, respectively, </w:t>
      </w:r>
      <w:r w:rsidR="005903F4">
        <w:rPr>
          <w:lang w:val="en-GB"/>
        </w:rPr>
        <w:t xml:space="preserve">and </w:t>
      </w:r>
      <w:r w:rsidR="00BA4CDC" w:rsidRPr="00BA4CDC">
        <w:rPr>
          <w:lang w:val="en-GB"/>
        </w:rPr>
        <w:t>th</w:t>
      </w:r>
      <w:r w:rsidR="00BA4CDC">
        <w:rPr>
          <w:lang w:val="en-GB"/>
        </w:rPr>
        <w:t>is</w:t>
      </w:r>
      <w:r w:rsidR="00BA4CDC" w:rsidRPr="00BA4CDC">
        <w:rPr>
          <w:lang w:val="en-GB"/>
        </w:rPr>
        <w:t xml:space="preserve"> </w:t>
      </w:r>
      <w:r w:rsidR="005903F4">
        <w:rPr>
          <w:lang w:val="en-GB"/>
        </w:rPr>
        <w:t xml:space="preserve">3-column </w:t>
      </w:r>
      <w:r w:rsidR="00BA4CDC" w:rsidRPr="00BA4CDC">
        <w:rPr>
          <w:lang w:val="en-GB"/>
        </w:rPr>
        <w:t>s</w:t>
      </w:r>
      <w:r w:rsidR="008B2CEA">
        <w:rPr>
          <w:lang w:val="en-GB"/>
        </w:rPr>
        <w:t xml:space="preserve">ubprocess </w:t>
      </w:r>
      <w:r w:rsidR="00BA4CDC" w:rsidRPr="00BA4CDC">
        <w:rPr>
          <w:lang w:val="en-GB"/>
        </w:rPr>
        <w:t>features two external feed streams and four product streams</w:t>
      </w:r>
      <w:r w:rsidR="008B2CEA">
        <w:rPr>
          <w:lang w:val="en-GB"/>
        </w:rPr>
        <w:t xml:space="preserve"> (see Figure 1)</w:t>
      </w:r>
      <w:r w:rsidR="00BA4CDC" w:rsidRPr="00BA4CDC">
        <w:rPr>
          <w:lang w:val="en-GB"/>
        </w:rPr>
        <w:t xml:space="preserve">. To quantitative </w:t>
      </w:r>
      <w:r w:rsidR="005E4CCA">
        <w:rPr>
          <w:lang w:val="en-GB"/>
        </w:rPr>
        <w:t>describe</w:t>
      </w:r>
      <w:r w:rsidR="00BA4CDC" w:rsidRPr="00BA4CDC">
        <w:rPr>
          <w:lang w:val="en-GB"/>
        </w:rPr>
        <w:t xml:space="preserve"> the </w:t>
      </w:r>
      <w:r w:rsidR="005903F4">
        <w:rPr>
          <w:lang w:val="en-GB"/>
        </w:rPr>
        <w:t>tail-chase and total-reflux</w:t>
      </w:r>
      <w:r w:rsidR="00BA4CDC" w:rsidRPr="00BA4CDC">
        <w:rPr>
          <w:lang w:val="en-GB"/>
        </w:rPr>
        <w:t xml:space="preserve"> configuration</w:t>
      </w:r>
      <w:r w:rsidR="005903F4">
        <w:rPr>
          <w:lang w:val="en-GB"/>
        </w:rPr>
        <w:t>s for emergency response</w:t>
      </w:r>
      <w:r w:rsidR="00BA4CDC" w:rsidRPr="00BA4CDC">
        <w:rPr>
          <w:lang w:val="en-GB"/>
        </w:rPr>
        <w:t xml:space="preserve">, the flowrates and compositions of </w:t>
      </w:r>
      <w:r w:rsidR="003D0C24">
        <w:rPr>
          <w:lang w:val="en-GB"/>
        </w:rPr>
        <w:t xml:space="preserve">these </w:t>
      </w:r>
      <w:r w:rsidR="008F032D">
        <w:rPr>
          <w:lang w:val="en-GB"/>
        </w:rPr>
        <w:t xml:space="preserve">overall </w:t>
      </w:r>
      <w:r w:rsidR="00EA46FD">
        <w:rPr>
          <w:lang w:val="en-GB"/>
        </w:rPr>
        <w:t>system</w:t>
      </w:r>
      <w:r w:rsidR="00B462BF">
        <w:rPr>
          <w:lang w:val="en-GB"/>
        </w:rPr>
        <w:t xml:space="preserve"> inputs and outputs</w:t>
      </w:r>
      <w:r w:rsidR="00BA4CDC" w:rsidRPr="00BA4CDC">
        <w:rPr>
          <w:lang w:val="en-GB"/>
        </w:rPr>
        <w:t xml:space="preserve"> are fixed initially at those obtained </w:t>
      </w:r>
      <w:r w:rsidR="00B462BF">
        <w:rPr>
          <w:lang w:val="en-GB"/>
        </w:rPr>
        <w:t>by</w:t>
      </w:r>
      <w:r w:rsidR="00BA4CDC" w:rsidRPr="00BA4CDC">
        <w:rPr>
          <w:lang w:val="en-GB"/>
        </w:rPr>
        <w:t xml:space="preserve"> simulati</w:t>
      </w:r>
      <w:r w:rsidR="00B462BF">
        <w:rPr>
          <w:lang w:val="en-GB"/>
        </w:rPr>
        <w:t>ng</w:t>
      </w:r>
      <w:r w:rsidR="00BA4CDC" w:rsidRPr="00BA4CDC">
        <w:rPr>
          <w:lang w:val="en-GB"/>
        </w:rPr>
        <w:t xml:space="preserve"> the </w:t>
      </w:r>
      <w:r w:rsidR="005903F4">
        <w:rPr>
          <w:lang w:val="en-GB"/>
        </w:rPr>
        <w:t>normal</w:t>
      </w:r>
      <w:r w:rsidR="00BA4CDC" w:rsidRPr="00BA4CDC">
        <w:rPr>
          <w:lang w:val="en-GB"/>
        </w:rPr>
        <w:t xml:space="preserve"> steady-state </w:t>
      </w:r>
      <w:r w:rsidR="00B462BF">
        <w:rPr>
          <w:lang w:val="en-GB"/>
        </w:rPr>
        <w:t>back-end sub</w:t>
      </w:r>
      <w:r w:rsidR="00BA4CDC" w:rsidRPr="00BA4CDC">
        <w:rPr>
          <w:lang w:val="en-GB"/>
        </w:rPr>
        <w:t>process</w:t>
      </w:r>
      <w:r w:rsidR="00CA4518">
        <w:rPr>
          <w:lang w:val="en-GB"/>
        </w:rPr>
        <w:t xml:space="preserve"> with</w:t>
      </w:r>
      <w:r w:rsidR="00CA4518" w:rsidRPr="00CA4518">
        <w:t xml:space="preserve"> </w:t>
      </w:r>
      <w:r w:rsidR="00CA4518" w:rsidRPr="00CA4518">
        <w:rPr>
          <w:lang w:val="en-GB"/>
        </w:rPr>
        <w:t>ASPEN PLUS</w:t>
      </w:r>
      <w:r w:rsidR="00CA4518">
        <w:rPr>
          <w:vertAlign w:val="superscript"/>
          <w:lang w:val="en-GB"/>
        </w:rPr>
        <w:fldChar w:fldCharType="begin"/>
      </w:r>
      <w:r w:rsidR="00CA4518">
        <w:rPr>
          <w:rFonts w:eastAsia="新細明體"/>
          <w:vertAlign w:val="superscript"/>
          <w:lang w:val="en-GB" w:eastAsia="zh-TW"/>
        </w:rPr>
        <w:instrText xml:space="preserve"> </w:instrText>
      </w:r>
      <w:r w:rsidR="00CA4518">
        <w:rPr>
          <w:rFonts w:eastAsia="新細明體" w:hint="eastAsia"/>
          <w:vertAlign w:val="superscript"/>
          <w:lang w:val="en-GB" w:eastAsia="zh-TW"/>
        </w:rPr>
        <w:instrText>eq \o\ac(</w:instrText>
      </w:r>
      <w:r w:rsidR="00CA4518" w:rsidRPr="00CA4518">
        <w:rPr>
          <w:rFonts w:eastAsia="新細明體" w:hint="eastAsia"/>
          <w:position w:val="5"/>
          <w:sz w:val="12"/>
          <w:lang w:val="en-GB" w:eastAsia="zh-TW"/>
        </w:rPr>
        <w:instrText>○</w:instrText>
      </w:r>
      <w:r w:rsidR="00CA4518" w:rsidRPr="00CA4518">
        <w:rPr>
          <w:rFonts w:eastAsia="新細明體" w:hint="eastAsia"/>
          <w:position w:val="5"/>
          <w:sz w:val="12"/>
          <w:lang w:val="en-GB" w:eastAsia="zh-TW"/>
        </w:rPr>
        <w:instrText>,</w:instrText>
      </w:r>
      <w:r w:rsidR="00CA4518" w:rsidRPr="00CA4518">
        <w:rPr>
          <w:rFonts w:eastAsia="新細明體" w:hint="eastAsia"/>
          <w:position w:val="6"/>
          <w:sz w:val="8"/>
          <w:lang w:val="en-GB" w:eastAsia="zh-TW"/>
        </w:rPr>
        <w:instrText>R</w:instrText>
      </w:r>
      <w:r w:rsidR="00CA4518">
        <w:rPr>
          <w:rFonts w:eastAsia="新細明體" w:hint="eastAsia"/>
          <w:vertAlign w:val="superscript"/>
          <w:lang w:val="en-GB" w:eastAsia="zh-TW"/>
        </w:rPr>
        <w:instrText>)</w:instrText>
      </w:r>
      <w:r w:rsidR="00CA4518">
        <w:rPr>
          <w:vertAlign w:val="superscript"/>
          <w:lang w:val="en-GB"/>
        </w:rPr>
        <w:fldChar w:fldCharType="end"/>
      </w:r>
      <w:r w:rsidR="00BA4CDC" w:rsidRPr="00BA4CDC">
        <w:rPr>
          <w:lang w:val="en-GB"/>
        </w:rPr>
        <w:t xml:space="preserve">. </w:t>
      </w:r>
      <w:r w:rsidR="005903F4">
        <w:rPr>
          <w:lang w:val="en-GB"/>
        </w:rPr>
        <w:t>Also</w:t>
      </w:r>
      <w:r w:rsidR="00CA4518">
        <w:rPr>
          <w:lang w:val="en-GB"/>
        </w:rPr>
        <w:t>, t</w:t>
      </w:r>
      <w:r w:rsidR="00CA4518" w:rsidRPr="00CA4518">
        <w:rPr>
          <w:lang w:val="en-GB"/>
        </w:rPr>
        <w:t>o avoid</w:t>
      </w:r>
      <w:r w:rsidR="00CA4518">
        <w:rPr>
          <w:lang w:val="en-GB"/>
        </w:rPr>
        <w:t xml:space="preserve"> unnecessarily</w:t>
      </w:r>
      <w:r w:rsidR="00CA4518" w:rsidRPr="00CA4518">
        <w:rPr>
          <w:lang w:val="en-GB"/>
        </w:rPr>
        <w:t xml:space="preserve"> </w:t>
      </w:r>
      <w:r w:rsidR="00EA46FD">
        <w:rPr>
          <w:lang w:val="en-GB"/>
        </w:rPr>
        <w:t>tedious</w:t>
      </w:r>
      <w:r w:rsidR="00CA4518" w:rsidRPr="00CA4518">
        <w:rPr>
          <w:lang w:val="en-GB"/>
        </w:rPr>
        <w:t xml:space="preserve"> analysis, </w:t>
      </w:r>
      <w:r w:rsidR="008F032D">
        <w:rPr>
          <w:lang w:val="en-GB"/>
        </w:rPr>
        <w:t>any</w:t>
      </w:r>
      <w:r w:rsidR="00CA4518" w:rsidRPr="00CA4518">
        <w:rPr>
          <w:lang w:val="en-GB"/>
        </w:rPr>
        <w:t xml:space="preserve"> trace amount of species in every</w:t>
      </w:r>
      <w:r w:rsidR="001A11A8">
        <w:rPr>
          <w:lang w:val="en-GB"/>
        </w:rPr>
        <w:t xml:space="preserve"> such </w:t>
      </w:r>
      <w:r w:rsidR="00CA4518" w:rsidRPr="00CA4518">
        <w:rPr>
          <w:lang w:val="en-GB"/>
        </w:rPr>
        <w:t>stream has been ignored</w:t>
      </w:r>
      <w:r w:rsidR="005903F4">
        <w:rPr>
          <w:lang w:val="en-GB"/>
        </w:rPr>
        <w:t xml:space="preserve"> and </w:t>
      </w:r>
      <w:r w:rsidR="00CA4518" w:rsidRPr="00CA4518">
        <w:rPr>
          <w:lang w:val="en-GB"/>
        </w:rPr>
        <w:t>only the</w:t>
      </w:r>
      <w:r w:rsidR="001A11A8">
        <w:rPr>
          <w:lang w:val="en-GB"/>
        </w:rPr>
        <w:t xml:space="preserve"> </w:t>
      </w:r>
      <w:r w:rsidR="00CA4518" w:rsidRPr="00CA4518">
        <w:rPr>
          <w:lang w:val="en-GB"/>
        </w:rPr>
        <w:t xml:space="preserve">flowrates of </w:t>
      </w:r>
      <w:r w:rsidR="008F032D">
        <w:rPr>
          <w:lang w:val="en-GB"/>
        </w:rPr>
        <w:t xml:space="preserve">its </w:t>
      </w:r>
      <w:r w:rsidR="00CA4518" w:rsidRPr="00CA4518">
        <w:rPr>
          <w:lang w:val="en-GB"/>
        </w:rPr>
        <w:t xml:space="preserve">predominant components are </w:t>
      </w:r>
      <w:r w:rsidR="001A11A8">
        <w:rPr>
          <w:lang w:val="en-GB"/>
        </w:rPr>
        <w:t>given</w:t>
      </w:r>
      <w:r w:rsidR="00CA4518" w:rsidRPr="00CA4518">
        <w:rPr>
          <w:lang w:val="en-GB"/>
        </w:rPr>
        <w:t xml:space="preserve"> in Table </w:t>
      </w:r>
      <w:r w:rsidR="008B2CEA">
        <w:rPr>
          <w:lang w:val="en-GB"/>
        </w:rPr>
        <w:t>1</w:t>
      </w:r>
      <w:r w:rsidR="00CA4518" w:rsidRPr="00CA4518">
        <w:rPr>
          <w:lang w:val="en-GB"/>
        </w:rPr>
        <w:t xml:space="preserve">. </w:t>
      </w:r>
      <w:r w:rsidR="00BA4CDC" w:rsidRPr="00BA4CDC">
        <w:rPr>
          <w:lang w:val="en-GB"/>
        </w:rPr>
        <w:t xml:space="preserve"> </w:t>
      </w:r>
    </w:p>
    <w:p w14:paraId="577679AD" w14:textId="77777777" w:rsidR="00992A94" w:rsidRDefault="00A721B0" w:rsidP="00992A94">
      <w:pPr>
        <w:pStyle w:val="CETCaption"/>
        <w:jc w:val="center"/>
        <w:rPr>
          <w:rStyle w:val="CETCaptionCarattere"/>
          <w:i/>
        </w:rPr>
      </w:pPr>
      <w:r w:rsidRPr="00C7336D">
        <w:rPr>
          <w:rFonts w:asciiTheme="majorHAnsi" w:hAnsiTheme="majorHAnsi" w:cstheme="majorHAnsi"/>
          <w:noProof/>
        </w:rPr>
        <w:drawing>
          <wp:inline distT="0" distB="0" distL="0" distR="0" wp14:anchorId="5C493EFA" wp14:editId="4CFED955">
            <wp:extent cx="4390105" cy="2254250"/>
            <wp:effectExtent l="0" t="0" r="0" b="0"/>
            <wp:docPr id="23" name="圖片 4" descr="一張含有 圖表, 文字, 方案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4" descr="一張含有 圖表, 文字, 方案, 行 的圖片&#10;&#10;自動產生的描述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0630" cy="23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Hlk198910516"/>
    </w:p>
    <w:p w14:paraId="29072D67" w14:textId="5677839D" w:rsidR="0010039E" w:rsidRPr="0010039E" w:rsidRDefault="0010039E" w:rsidP="00992A94">
      <w:pPr>
        <w:pStyle w:val="CETCaption"/>
        <w:jc w:val="center"/>
      </w:pPr>
      <w:r w:rsidRPr="00BD077D">
        <w:rPr>
          <w:rStyle w:val="CETCaptionCarattere"/>
          <w:i/>
        </w:rPr>
        <w:t xml:space="preserve">Figure 1: </w:t>
      </w:r>
      <w:r w:rsidR="00BE746B" w:rsidRPr="00BE746B">
        <w:rPr>
          <w:rStyle w:val="CETCaptionCarattere"/>
          <w:i/>
        </w:rPr>
        <w:t>Process flow diagram of a portion of the back</w:t>
      </w:r>
      <w:r w:rsidR="003B4838">
        <w:rPr>
          <w:rStyle w:val="CETCaptionCarattere"/>
          <w:i/>
        </w:rPr>
        <w:t>-</w:t>
      </w:r>
      <w:r w:rsidR="00BE746B" w:rsidRPr="00BE746B">
        <w:rPr>
          <w:rStyle w:val="CETCaptionCarattere"/>
          <w:i/>
        </w:rPr>
        <w:t>end of ethylene plant during normal operation</w:t>
      </w:r>
      <w:bookmarkEnd w:id="3"/>
    </w:p>
    <w:p w14:paraId="15DAD053" w14:textId="3FA33BE9" w:rsidR="00CA4518" w:rsidRPr="00B57B36" w:rsidRDefault="00CA4518" w:rsidP="00CA4518">
      <w:pPr>
        <w:pStyle w:val="CETTabletitle"/>
      </w:pPr>
      <w:r w:rsidRPr="00B57B36">
        <w:lastRenderedPageBreak/>
        <w:t xml:space="preserve">Table 1: </w:t>
      </w:r>
      <w:r w:rsidR="00A721B0" w:rsidRPr="00A721B0">
        <w:t>Predominant components and their weight percentages (</w:t>
      </w:r>
      <w:proofErr w:type="spellStart"/>
      <w:r w:rsidR="00A721B0" w:rsidRPr="00A721B0">
        <w:t>wt</w:t>
      </w:r>
      <w:proofErr w:type="spellEnd"/>
      <w:r w:rsidR="00A721B0">
        <w:t xml:space="preserve"> </w:t>
      </w:r>
      <w:r w:rsidR="00A721B0" w:rsidRPr="00A721B0">
        <w:t>%) in the</w:t>
      </w:r>
      <w:r w:rsidR="00A26A86">
        <w:t xml:space="preserve"> overall</w:t>
      </w:r>
      <w:r w:rsidR="00A721B0" w:rsidRPr="00A721B0">
        <w:t xml:space="preserve"> input and output</w:t>
      </w:r>
      <w:r w:rsidR="00DD3D62">
        <w:t xml:space="preserve"> streams</w:t>
      </w:r>
      <w:r w:rsidR="00A721B0" w:rsidRPr="00A721B0">
        <w:t xml:space="preserve"> of a 3-column distillation train in the naphtha cracking process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56"/>
        <w:gridCol w:w="1256"/>
        <w:gridCol w:w="1255"/>
        <w:gridCol w:w="1255"/>
        <w:gridCol w:w="1255"/>
        <w:gridCol w:w="1255"/>
        <w:gridCol w:w="1255"/>
      </w:tblGrid>
      <w:tr w:rsidR="00A721B0" w:rsidRPr="00B57B36" w14:paraId="7D6C1F30" w14:textId="0885653B" w:rsidTr="00000872">
        <w:tc>
          <w:tcPr>
            <w:tcW w:w="715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676CB9C" w14:textId="5FE9C580" w:rsidR="00A721B0" w:rsidRPr="00B57B36" w:rsidRDefault="00DC630A" w:rsidP="006B1238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Component</w:t>
            </w:r>
            <w:r w:rsidR="00A721B0" w:rsidRPr="00B57B36">
              <w:rPr>
                <w:lang w:val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66DCFC7" w14:textId="6D0AC6DC" w:rsidR="00A721B0" w:rsidRPr="00A721B0" w:rsidRDefault="00DD3D62" w:rsidP="006B1238">
            <w:pPr>
              <w:pStyle w:val="CETBodytext"/>
              <w:rPr>
                <w:rFonts w:eastAsia="新細明體"/>
                <w:lang w:val="en-GB" w:eastAsia="zh-TW"/>
              </w:rPr>
            </w:pPr>
            <w:r>
              <w:rPr>
                <w:rFonts w:eastAsia="新細明體"/>
                <w:lang w:val="en-GB" w:eastAsia="zh-TW"/>
              </w:rPr>
              <w:t xml:space="preserve">Stream </w:t>
            </w:r>
            <w:r w:rsidR="00A721B0">
              <w:rPr>
                <w:rFonts w:eastAsia="新細明體" w:hint="eastAsia"/>
                <w:lang w:val="en-GB" w:eastAsia="zh-TW"/>
              </w:rPr>
              <w:t>4</w:t>
            </w:r>
            <w:r w:rsidR="00A721B0">
              <w:rPr>
                <w:rFonts w:eastAsia="新細明體"/>
                <w:lang w:val="en-GB" w:eastAsia="zh-TW"/>
              </w:rPr>
              <w:t>001</w:t>
            </w:r>
          </w:p>
        </w:tc>
        <w:tc>
          <w:tcPr>
            <w:tcW w:w="71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DC8D04D" w14:textId="194A1331" w:rsidR="00A721B0" w:rsidRPr="00A721B0" w:rsidRDefault="00DD3D62" w:rsidP="006B1238">
            <w:pPr>
              <w:pStyle w:val="CETBodytext"/>
              <w:rPr>
                <w:rFonts w:eastAsia="新細明體"/>
                <w:lang w:val="en-GB" w:eastAsia="zh-TW"/>
              </w:rPr>
            </w:pPr>
            <w:r>
              <w:rPr>
                <w:rFonts w:eastAsia="新細明體"/>
                <w:lang w:val="en-GB" w:eastAsia="zh-TW"/>
              </w:rPr>
              <w:t xml:space="preserve">Stream </w:t>
            </w:r>
            <w:r w:rsidR="00A721B0">
              <w:rPr>
                <w:rFonts w:eastAsia="新細明體" w:hint="eastAsia"/>
                <w:lang w:val="en-GB" w:eastAsia="zh-TW"/>
              </w:rPr>
              <w:t>2</w:t>
            </w:r>
            <w:r w:rsidR="00A721B0">
              <w:rPr>
                <w:rFonts w:eastAsia="新細明體"/>
                <w:lang w:val="en-GB" w:eastAsia="zh-TW"/>
              </w:rPr>
              <w:t>088</w:t>
            </w:r>
          </w:p>
        </w:tc>
        <w:tc>
          <w:tcPr>
            <w:tcW w:w="71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EBC6A1" w14:textId="0D3F3CD9" w:rsidR="00A721B0" w:rsidRPr="00A721B0" w:rsidRDefault="00DD3D62" w:rsidP="006B1238">
            <w:pPr>
              <w:pStyle w:val="CETBodytext"/>
              <w:ind w:right="-1"/>
              <w:rPr>
                <w:rFonts w:eastAsia="新細明體" w:cs="Arial"/>
                <w:szCs w:val="18"/>
                <w:lang w:val="en-GB" w:eastAsia="zh-TW"/>
              </w:rPr>
            </w:pPr>
            <w:r>
              <w:rPr>
                <w:rFonts w:eastAsia="新細明體" w:cs="Arial"/>
                <w:szCs w:val="18"/>
                <w:lang w:val="en-GB" w:eastAsia="zh-TW"/>
              </w:rPr>
              <w:t xml:space="preserve">Stream </w:t>
            </w:r>
            <w:r w:rsidR="00A721B0">
              <w:rPr>
                <w:rFonts w:eastAsia="新細明體" w:cs="Arial" w:hint="eastAsia"/>
                <w:szCs w:val="18"/>
                <w:lang w:val="en-GB" w:eastAsia="zh-TW"/>
              </w:rPr>
              <w:t>T</w:t>
            </w:r>
            <w:r w:rsidR="00B0404F">
              <w:rPr>
                <w:rFonts w:eastAsia="新細明體" w:cs="Arial"/>
                <w:szCs w:val="18"/>
                <w:lang w:val="en-GB" w:eastAsia="zh-TW"/>
              </w:rPr>
              <w:t>OP1</w:t>
            </w:r>
          </w:p>
        </w:tc>
        <w:tc>
          <w:tcPr>
            <w:tcW w:w="71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F2FF238" w14:textId="6AA64BCF" w:rsidR="00A721B0" w:rsidRPr="00B0404F" w:rsidRDefault="00DD3D62" w:rsidP="006B1238">
            <w:pPr>
              <w:pStyle w:val="CETBodytext"/>
              <w:ind w:right="-1"/>
              <w:rPr>
                <w:rFonts w:eastAsia="新細明體" w:cs="Arial"/>
                <w:szCs w:val="18"/>
                <w:lang w:val="en-GB" w:eastAsia="zh-TW"/>
              </w:rPr>
            </w:pPr>
            <w:r>
              <w:rPr>
                <w:rFonts w:eastAsia="新細明體" w:cs="Arial"/>
                <w:szCs w:val="18"/>
                <w:lang w:val="en-GB" w:eastAsia="zh-TW"/>
              </w:rPr>
              <w:t xml:space="preserve">Stream </w:t>
            </w:r>
            <w:r w:rsidR="00B0404F">
              <w:rPr>
                <w:rFonts w:eastAsia="新細明體" w:cs="Arial" w:hint="eastAsia"/>
                <w:szCs w:val="18"/>
                <w:lang w:val="en-GB" w:eastAsia="zh-TW"/>
              </w:rPr>
              <w:t>T</w:t>
            </w:r>
            <w:r w:rsidR="00B0404F">
              <w:rPr>
                <w:rFonts w:eastAsia="新細明體" w:cs="Arial"/>
                <w:szCs w:val="18"/>
                <w:lang w:val="en-GB" w:eastAsia="zh-TW"/>
              </w:rPr>
              <w:t>OP2</w:t>
            </w:r>
          </w:p>
        </w:tc>
        <w:tc>
          <w:tcPr>
            <w:tcW w:w="71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3C1B7FC" w14:textId="7F3A5658" w:rsidR="00A721B0" w:rsidRPr="00B0404F" w:rsidRDefault="00DD3D62" w:rsidP="006B1238">
            <w:pPr>
              <w:pStyle w:val="CETBodytext"/>
              <w:ind w:right="-1"/>
              <w:rPr>
                <w:rFonts w:eastAsia="新細明體" w:cs="Arial"/>
                <w:szCs w:val="18"/>
                <w:lang w:val="en-GB" w:eastAsia="zh-TW"/>
              </w:rPr>
            </w:pPr>
            <w:r>
              <w:rPr>
                <w:rFonts w:eastAsia="新細明體" w:cs="Arial"/>
                <w:szCs w:val="18"/>
                <w:lang w:val="en-GB" w:eastAsia="zh-TW"/>
              </w:rPr>
              <w:t xml:space="preserve">Stream </w:t>
            </w:r>
            <w:r w:rsidR="00B0404F">
              <w:rPr>
                <w:rFonts w:eastAsia="新細明體" w:cs="Arial" w:hint="eastAsia"/>
                <w:szCs w:val="18"/>
                <w:lang w:val="en-GB" w:eastAsia="zh-TW"/>
              </w:rPr>
              <w:t>T</w:t>
            </w:r>
            <w:r w:rsidR="00B0404F">
              <w:rPr>
                <w:rFonts w:eastAsia="新細明體" w:cs="Arial"/>
                <w:szCs w:val="18"/>
                <w:lang w:val="en-GB" w:eastAsia="zh-TW"/>
              </w:rPr>
              <w:t>OP3</w:t>
            </w:r>
          </w:p>
        </w:tc>
        <w:tc>
          <w:tcPr>
            <w:tcW w:w="71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08936E5" w14:textId="18A4911B" w:rsidR="00A721B0" w:rsidRPr="00B0404F" w:rsidRDefault="00DD3D62" w:rsidP="006B1238">
            <w:pPr>
              <w:pStyle w:val="CETBodytext"/>
              <w:ind w:right="-1"/>
              <w:rPr>
                <w:rFonts w:eastAsia="新細明體" w:cs="Arial"/>
                <w:szCs w:val="18"/>
                <w:lang w:val="en-GB" w:eastAsia="zh-TW"/>
              </w:rPr>
            </w:pPr>
            <w:r>
              <w:rPr>
                <w:rFonts w:eastAsia="新細明體" w:cs="Arial"/>
                <w:szCs w:val="18"/>
                <w:lang w:val="en-GB" w:eastAsia="zh-TW"/>
              </w:rPr>
              <w:t xml:space="preserve">Stream </w:t>
            </w:r>
            <w:r w:rsidR="00B0404F">
              <w:rPr>
                <w:rFonts w:eastAsia="新細明體" w:cs="Arial" w:hint="eastAsia"/>
                <w:szCs w:val="18"/>
                <w:lang w:val="en-GB" w:eastAsia="zh-TW"/>
              </w:rPr>
              <w:t>B</w:t>
            </w:r>
            <w:r w:rsidR="00B0404F">
              <w:rPr>
                <w:rFonts w:eastAsia="新細明體" w:cs="Arial"/>
                <w:szCs w:val="18"/>
                <w:lang w:val="en-GB" w:eastAsia="zh-TW"/>
              </w:rPr>
              <w:t>OT</w:t>
            </w:r>
          </w:p>
        </w:tc>
      </w:tr>
      <w:tr w:rsidR="00DC630A" w:rsidRPr="00B57B36" w14:paraId="7BFBC109" w14:textId="2B0B93FC" w:rsidTr="00000872">
        <w:tc>
          <w:tcPr>
            <w:tcW w:w="715" w:type="pct"/>
            <w:shd w:val="clear" w:color="auto" w:fill="FFFFFF"/>
          </w:tcPr>
          <w:p w14:paraId="37F57444" w14:textId="6BC52287" w:rsidR="00DC630A" w:rsidRPr="00B0404F" w:rsidRDefault="00DC630A" w:rsidP="00DC630A">
            <w:pPr>
              <w:pStyle w:val="CETBodytext"/>
              <w:rPr>
                <w:rFonts w:eastAsia="新細明體"/>
                <w:vertAlign w:val="subscript"/>
                <w:lang w:val="en-GB" w:eastAsia="zh-TW"/>
              </w:rPr>
            </w:pPr>
            <w:r>
              <w:rPr>
                <w:rFonts w:eastAsia="新細明體" w:hint="eastAsia"/>
                <w:lang w:val="en-GB" w:eastAsia="zh-TW"/>
              </w:rPr>
              <w:t>C</w:t>
            </w:r>
            <w:r>
              <w:rPr>
                <w:rFonts w:eastAsia="新細明體"/>
                <w:vertAlign w:val="subscript"/>
                <w:lang w:val="en-GB" w:eastAsia="zh-TW"/>
              </w:rPr>
              <w:t>2</w:t>
            </w:r>
            <w:r>
              <w:rPr>
                <w:rFonts w:eastAsia="新細明體"/>
                <w:lang w:val="en-GB" w:eastAsia="zh-TW"/>
              </w:rPr>
              <w:t>H</w:t>
            </w:r>
            <w:r>
              <w:rPr>
                <w:rFonts w:eastAsia="新細明體"/>
                <w:vertAlign w:val="subscript"/>
                <w:lang w:val="en-GB" w:eastAsia="zh-TW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5E7A2A0B" w14:textId="1F1A6DC8" w:rsidR="00DC630A" w:rsidRPr="00B57B36" w:rsidRDefault="00DC630A" w:rsidP="00DC630A">
            <w:pPr>
              <w:pStyle w:val="CETBodytext"/>
              <w:rPr>
                <w:lang w:val="en-GB"/>
              </w:rPr>
            </w:pPr>
            <w:r w:rsidRPr="003956D1">
              <w:t>0.63</w:t>
            </w:r>
          </w:p>
        </w:tc>
        <w:tc>
          <w:tcPr>
            <w:tcW w:w="714" w:type="pct"/>
            <w:shd w:val="clear" w:color="auto" w:fill="FFFFFF"/>
          </w:tcPr>
          <w:p w14:paraId="0FABE3EE" w14:textId="41028AE9" w:rsidR="00DC630A" w:rsidRPr="00B57B36" w:rsidRDefault="00DC630A" w:rsidP="00DC630A">
            <w:pPr>
              <w:pStyle w:val="CETBodytext"/>
              <w:rPr>
                <w:lang w:val="en-GB"/>
              </w:rPr>
            </w:pPr>
            <w:r w:rsidRPr="00987553">
              <w:t>-</w:t>
            </w:r>
          </w:p>
        </w:tc>
        <w:tc>
          <w:tcPr>
            <w:tcW w:w="714" w:type="pct"/>
            <w:shd w:val="clear" w:color="auto" w:fill="FFFFFF"/>
          </w:tcPr>
          <w:p w14:paraId="5053E592" w14:textId="7BEADE83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1.10</w:t>
            </w:r>
          </w:p>
        </w:tc>
        <w:tc>
          <w:tcPr>
            <w:tcW w:w="714" w:type="pct"/>
            <w:shd w:val="clear" w:color="auto" w:fill="FFFFFF"/>
          </w:tcPr>
          <w:p w14:paraId="3D9AF026" w14:textId="1AF5BFF0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1D0C61A7" w14:textId="0FB63D7D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7638E524" w14:textId="32403B59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73AF2537" w14:textId="7FBB7D10" w:rsidTr="00000872">
        <w:tc>
          <w:tcPr>
            <w:tcW w:w="715" w:type="pct"/>
            <w:shd w:val="clear" w:color="auto" w:fill="FFFFFF"/>
          </w:tcPr>
          <w:p w14:paraId="0429714E" w14:textId="4D0EA703" w:rsidR="00DC630A" w:rsidRPr="00B0404F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2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4</w:t>
            </w:r>
          </w:p>
        </w:tc>
        <w:tc>
          <w:tcPr>
            <w:tcW w:w="715" w:type="pct"/>
            <w:shd w:val="clear" w:color="auto" w:fill="FFFFFF"/>
          </w:tcPr>
          <w:p w14:paraId="44EC7AB4" w14:textId="53F245CE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47.12</w:t>
            </w:r>
          </w:p>
        </w:tc>
        <w:tc>
          <w:tcPr>
            <w:tcW w:w="714" w:type="pct"/>
            <w:shd w:val="clear" w:color="auto" w:fill="FFFFFF"/>
          </w:tcPr>
          <w:p w14:paraId="3F2C1C2A" w14:textId="1997E6D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-</w:t>
            </w:r>
          </w:p>
        </w:tc>
        <w:tc>
          <w:tcPr>
            <w:tcW w:w="714" w:type="pct"/>
            <w:shd w:val="clear" w:color="auto" w:fill="FFFFFF"/>
          </w:tcPr>
          <w:p w14:paraId="1A4149C2" w14:textId="7C673DC0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81.51</w:t>
            </w:r>
          </w:p>
        </w:tc>
        <w:tc>
          <w:tcPr>
            <w:tcW w:w="714" w:type="pct"/>
            <w:shd w:val="clear" w:color="auto" w:fill="FFFFFF"/>
          </w:tcPr>
          <w:p w14:paraId="55B74A6D" w14:textId="60D117A1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6419A834" w14:textId="5D61A9CB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56B9D575" w14:textId="6531810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1976CB3A" w14:textId="77777777" w:rsidTr="00000872">
        <w:tc>
          <w:tcPr>
            <w:tcW w:w="715" w:type="pct"/>
            <w:shd w:val="clear" w:color="auto" w:fill="FFFFFF"/>
          </w:tcPr>
          <w:p w14:paraId="6898A7A5" w14:textId="5571D5D7" w:rsidR="00DC630A" w:rsidRPr="00B0404F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2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6</w:t>
            </w:r>
          </w:p>
        </w:tc>
        <w:tc>
          <w:tcPr>
            <w:tcW w:w="715" w:type="pct"/>
            <w:shd w:val="clear" w:color="auto" w:fill="FFFFFF"/>
          </w:tcPr>
          <w:p w14:paraId="43646631" w14:textId="106CD9DD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10.03</w:t>
            </w:r>
          </w:p>
        </w:tc>
        <w:tc>
          <w:tcPr>
            <w:tcW w:w="714" w:type="pct"/>
            <w:shd w:val="clear" w:color="auto" w:fill="FFFFFF"/>
          </w:tcPr>
          <w:p w14:paraId="7DB14C4D" w14:textId="73805412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-</w:t>
            </w:r>
          </w:p>
        </w:tc>
        <w:tc>
          <w:tcPr>
            <w:tcW w:w="714" w:type="pct"/>
            <w:shd w:val="clear" w:color="auto" w:fill="FFFFFF"/>
          </w:tcPr>
          <w:p w14:paraId="15C91266" w14:textId="1FB8D9D3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17.34</w:t>
            </w:r>
          </w:p>
        </w:tc>
        <w:tc>
          <w:tcPr>
            <w:tcW w:w="714" w:type="pct"/>
            <w:shd w:val="clear" w:color="auto" w:fill="FFFFFF"/>
          </w:tcPr>
          <w:p w14:paraId="5DD3803C" w14:textId="5084533B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15EB6BF2" w14:textId="06BBB23B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0398D6D8" w14:textId="3730A0A5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49FEF53B" w14:textId="77777777" w:rsidTr="00000872">
        <w:tc>
          <w:tcPr>
            <w:tcW w:w="715" w:type="pct"/>
            <w:shd w:val="clear" w:color="auto" w:fill="FFFFFF"/>
          </w:tcPr>
          <w:p w14:paraId="5C49B42B" w14:textId="3CE3CFEA" w:rsidR="00DC630A" w:rsidRPr="00B0404F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3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4</w:t>
            </w:r>
          </w:p>
        </w:tc>
        <w:tc>
          <w:tcPr>
            <w:tcW w:w="715" w:type="pct"/>
            <w:shd w:val="clear" w:color="auto" w:fill="FFFFFF"/>
          </w:tcPr>
          <w:p w14:paraId="1291BC33" w14:textId="3AEEA796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0.66</w:t>
            </w:r>
          </w:p>
        </w:tc>
        <w:tc>
          <w:tcPr>
            <w:tcW w:w="714" w:type="pct"/>
            <w:shd w:val="clear" w:color="auto" w:fill="FFFFFF"/>
          </w:tcPr>
          <w:p w14:paraId="7BEDBD8D" w14:textId="1D2621B0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1.38</w:t>
            </w:r>
          </w:p>
        </w:tc>
        <w:tc>
          <w:tcPr>
            <w:tcW w:w="714" w:type="pct"/>
            <w:shd w:val="clear" w:color="auto" w:fill="FFFFFF"/>
          </w:tcPr>
          <w:p w14:paraId="6A8DBFEF" w14:textId="11893CD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5B091B73" w14:textId="7F79CCCE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3.34</w:t>
            </w:r>
          </w:p>
        </w:tc>
        <w:tc>
          <w:tcPr>
            <w:tcW w:w="714" w:type="pct"/>
            <w:shd w:val="clear" w:color="auto" w:fill="FFFFFF"/>
          </w:tcPr>
          <w:p w14:paraId="076EECA3" w14:textId="69B140F8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4578E53B" w14:textId="5F8FBA5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0D1450E1" w14:textId="77777777" w:rsidTr="00000872">
        <w:tc>
          <w:tcPr>
            <w:tcW w:w="715" w:type="pct"/>
            <w:shd w:val="clear" w:color="auto" w:fill="FFFFFF"/>
          </w:tcPr>
          <w:p w14:paraId="6D1A961D" w14:textId="0AAC256B" w:rsidR="00DC630A" w:rsidRPr="00B0404F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3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6</w:t>
            </w:r>
          </w:p>
        </w:tc>
        <w:tc>
          <w:tcPr>
            <w:tcW w:w="715" w:type="pct"/>
            <w:shd w:val="clear" w:color="auto" w:fill="FFFFFF"/>
          </w:tcPr>
          <w:p w14:paraId="2FFDD3F7" w14:textId="709FF716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27.24</w:t>
            </w:r>
          </w:p>
        </w:tc>
        <w:tc>
          <w:tcPr>
            <w:tcW w:w="714" w:type="pct"/>
            <w:shd w:val="clear" w:color="auto" w:fill="FFFFFF"/>
          </w:tcPr>
          <w:p w14:paraId="37B98745" w14:textId="5AE72D2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10.60</w:t>
            </w:r>
          </w:p>
        </w:tc>
        <w:tc>
          <w:tcPr>
            <w:tcW w:w="714" w:type="pct"/>
            <w:shd w:val="clear" w:color="auto" w:fill="FFFFFF"/>
          </w:tcPr>
          <w:p w14:paraId="6387220E" w14:textId="58F08928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52325192" w14:textId="7EB2FAE3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90.77</w:t>
            </w:r>
          </w:p>
        </w:tc>
        <w:tc>
          <w:tcPr>
            <w:tcW w:w="714" w:type="pct"/>
            <w:shd w:val="clear" w:color="auto" w:fill="FFFFFF"/>
          </w:tcPr>
          <w:p w14:paraId="6F7029C0" w14:textId="50166B7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3CFE912D" w14:textId="27EDC5F3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38C95DC9" w14:textId="77777777" w:rsidTr="00000872">
        <w:tc>
          <w:tcPr>
            <w:tcW w:w="715" w:type="pct"/>
            <w:shd w:val="clear" w:color="auto" w:fill="FFFFFF"/>
          </w:tcPr>
          <w:p w14:paraId="7876D012" w14:textId="09243272" w:rsidR="00DC630A" w:rsidRPr="00B0404F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3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8</w:t>
            </w:r>
          </w:p>
        </w:tc>
        <w:tc>
          <w:tcPr>
            <w:tcW w:w="715" w:type="pct"/>
            <w:shd w:val="clear" w:color="auto" w:fill="FFFFFF"/>
          </w:tcPr>
          <w:p w14:paraId="01193748" w14:textId="43D6FFC7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1.89</w:t>
            </w:r>
          </w:p>
        </w:tc>
        <w:tc>
          <w:tcPr>
            <w:tcW w:w="714" w:type="pct"/>
            <w:shd w:val="clear" w:color="auto" w:fill="FFFFFF"/>
          </w:tcPr>
          <w:p w14:paraId="3F6A78A2" w14:textId="71BD5284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-</w:t>
            </w:r>
          </w:p>
        </w:tc>
        <w:tc>
          <w:tcPr>
            <w:tcW w:w="714" w:type="pct"/>
            <w:shd w:val="clear" w:color="auto" w:fill="FFFFFF"/>
          </w:tcPr>
          <w:p w14:paraId="72A2B086" w14:textId="1ECA9714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665AE988" w14:textId="334FC0A4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5.87</w:t>
            </w:r>
          </w:p>
        </w:tc>
        <w:tc>
          <w:tcPr>
            <w:tcW w:w="714" w:type="pct"/>
            <w:shd w:val="clear" w:color="auto" w:fill="FFFFFF"/>
          </w:tcPr>
          <w:p w14:paraId="48BDF321" w14:textId="0726B537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3A2501F8" w14:textId="67CFC348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48EEF29F" w14:textId="77777777" w:rsidTr="00000872">
        <w:tc>
          <w:tcPr>
            <w:tcW w:w="715" w:type="pct"/>
            <w:shd w:val="clear" w:color="auto" w:fill="FFFFFF"/>
          </w:tcPr>
          <w:p w14:paraId="4D5C6D92" w14:textId="5E2573C7" w:rsidR="00DC630A" w:rsidRPr="00B0404F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4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6</w:t>
            </w:r>
          </w:p>
        </w:tc>
        <w:tc>
          <w:tcPr>
            <w:tcW w:w="715" w:type="pct"/>
            <w:shd w:val="clear" w:color="auto" w:fill="FFFFFF"/>
          </w:tcPr>
          <w:p w14:paraId="6DE45F7D" w14:textId="2A1F47A4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4.35</w:t>
            </w:r>
          </w:p>
        </w:tc>
        <w:tc>
          <w:tcPr>
            <w:tcW w:w="714" w:type="pct"/>
            <w:shd w:val="clear" w:color="auto" w:fill="FFFFFF"/>
          </w:tcPr>
          <w:p w14:paraId="6D303C5D" w14:textId="0713881E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11.10</w:t>
            </w:r>
          </w:p>
        </w:tc>
        <w:tc>
          <w:tcPr>
            <w:tcW w:w="714" w:type="pct"/>
            <w:shd w:val="clear" w:color="auto" w:fill="FFFFFF"/>
          </w:tcPr>
          <w:p w14:paraId="6E88A2A9" w14:textId="5D12A20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0AD5165F" w14:textId="159E15E5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2BC8006C" w14:textId="7302BCCB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33.79</w:t>
            </w:r>
          </w:p>
        </w:tc>
        <w:tc>
          <w:tcPr>
            <w:tcW w:w="714" w:type="pct"/>
            <w:shd w:val="clear" w:color="auto" w:fill="FFFFFF"/>
          </w:tcPr>
          <w:p w14:paraId="32C4F4C5" w14:textId="2883905A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55C33585" w14:textId="77777777" w:rsidTr="00000872">
        <w:tc>
          <w:tcPr>
            <w:tcW w:w="715" w:type="pct"/>
            <w:shd w:val="clear" w:color="auto" w:fill="FFFFFF"/>
          </w:tcPr>
          <w:p w14:paraId="37AC6BA6" w14:textId="5DD77E12" w:rsidR="00DC630A" w:rsidRPr="00B0404F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4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8</w:t>
            </w:r>
          </w:p>
        </w:tc>
        <w:tc>
          <w:tcPr>
            <w:tcW w:w="715" w:type="pct"/>
            <w:shd w:val="clear" w:color="auto" w:fill="FFFFFF"/>
          </w:tcPr>
          <w:p w14:paraId="6CAAA175" w14:textId="0D0C29F6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6.51</w:t>
            </w:r>
          </w:p>
        </w:tc>
        <w:tc>
          <w:tcPr>
            <w:tcW w:w="714" w:type="pct"/>
            <w:shd w:val="clear" w:color="auto" w:fill="FFFFFF"/>
          </w:tcPr>
          <w:p w14:paraId="690103C2" w14:textId="1359AB9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18.42</w:t>
            </w:r>
          </w:p>
        </w:tc>
        <w:tc>
          <w:tcPr>
            <w:tcW w:w="714" w:type="pct"/>
            <w:shd w:val="clear" w:color="auto" w:fill="FFFFFF"/>
          </w:tcPr>
          <w:p w14:paraId="66FA05DC" w14:textId="2EDF80A6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20BFC7B4" w14:textId="6CBA9C26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785D04C0" w14:textId="4B11B254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53.68</w:t>
            </w:r>
          </w:p>
        </w:tc>
        <w:tc>
          <w:tcPr>
            <w:tcW w:w="714" w:type="pct"/>
            <w:shd w:val="clear" w:color="auto" w:fill="FFFFFF"/>
          </w:tcPr>
          <w:p w14:paraId="238C3B14" w14:textId="5A459573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51A4DE6B" w14:textId="77777777" w:rsidTr="00000872">
        <w:tc>
          <w:tcPr>
            <w:tcW w:w="715" w:type="pct"/>
            <w:shd w:val="clear" w:color="auto" w:fill="FFFFFF"/>
          </w:tcPr>
          <w:p w14:paraId="5F16478B" w14:textId="0884709C" w:rsidR="00DC630A" w:rsidRPr="00B0404F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4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10</w:t>
            </w:r>
          </w:p>
        </w:tc>
        <w:tc>
          <w:tcPr>
            <w:tcW w:w="715" w:type="pct"/>
            <w:shd w:val="clear" w:color="auto" w:fill="FFFFFF"/>
          </w:tcPr>
          <w:p w14:paraId="74C37BF4" w14:textId="26B26B81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1.54</w:t>
            </w:r>
          </w:p>
        </w:tc>
        <w:tc>
          <w:tcPr>
            <w:tcW w:w="714" w:type="pct"/>
            <w:shd w:val="clear" w:color="auto" w:fill="FFFFFF"/>
          </w:tcPr>
          <w:p w14:paraId="0A774564" w14:textId="721948CD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4.32</w:t>
            </w:r>
          </w:p>
        </w:tc>
        <w:tc>
          <w:tcPr>
            <w:tcW w:w="714" w:type="pct"/>
            <w:shd w:val="clear" w:color="auto" w:fill="FFFFFF"/>
          </w:tcPr>
          <w:p w14:paraId="1CADC9A6" w14:textId="4F57356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521DA13F" w14:textId="4E055337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55BFD3B7" w14:textId="00F320A7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12.21</w:t>
            </w:r>
          </w:p>
        </w:tc>
        <w:tc>
          <w:tcPr>
            <w:tcW w:w="714" w:type="pct"/>
            <w:shd w:val="clear" w:color="auto" w:fill="FFFFFF"/>
          </w:tcPr>
          <w:p w14:paraId="3B29E78D" w14:textId="3A8344EE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-</w:t>
            </w:r>
          </w:p>
        </w:tc>
      </w:tr>
      <w:tr w:rsidR="00DC630A" w:rsidRPr="00B57B36" w14:paraId="38B4A256" w14:textId="77777777" w:rsidTr="00000872">
        <w:tc>
          <w:tcPr>
            <w:tcW w:w="715" w:type="pct"/>
            <w:shd w:val="clear" w:color="auto" w:fill="FFFFFF"/>
          </w:tcPr>
          <w:p w14:paraId="1F69651C" w14:textId="663A49EA" w:rsidR="00DC630A" w:rsidRPr="00BF028A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5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10</w:t>
            </w:r>
          </w:p>
        </w:tc>
        <w:tc>
          <w:tcPr>
            <w:tcW w:w="715" w:type="pct"/>
            <w:shd w:val="clear" w:color="auto" w:fill="FFFFFF"/>
          </w:tcPr>
          <w:p w14:paraId="2958B200" w14:textId="25D302FD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-</w:t>
            </w:r>
          </w:p>
        </w:tc>
        <w:tc>
          <w:tcPr>
            <w:tcW w:w="714" w:type="pct"/>
            <w:shd w:val="clear" w:color="auto" w:fill="FFFFFF"/>
          </w:tcPr>
          <w:p w14:paraId="4AB160C6" w14:textId="4F0AC51A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26.10</w:t>
            </w:r>
          </w:p>
        </w:tc>
        <w:tc>
          <w:tcPr>
            <w:tcW w:w="714" w:type="pct"/>
            <w:shd w:val="clear" w:color="auto" w:fill="FFFFFF"/>
          </w:tcPr>
          <w:p w14:paraId="11DA5D4E" w14:textId="5FA95742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013A36DB" w14:textId="3D565719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315727E8" w14:textId="0A385BD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77A2B989" w14:textId="58F8245E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*</w:t>
            </w:r>
          </w:p>
        </w:tc>
      </w:tr>
      <w:tr w:rsidR="00DC630A" w:rsidRPr="00B57B36" w14:paraId="0C8AFBD6" w14:textId="77777777" w:rsidTr="00000872">
        <w:tc>
          <w:tcPr>
            <w:tcW w:w="715" w:type="pct"/>
            <w:shd w:val="clear" w:color="auto" w:fill="FFFFFF"/>
          </w:tcPr>
          <w:p w14:paraId="3E506076" w14:textId="6532735E" w:rsidR="00DC630A" w:rsidRPr="00BF028A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6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6</w:t>
            </w:r>
          </w:p>
        </w:tc>
        <w:tc>
          <w:tcPr>
            <w:tcW w:w="715" w:type="pct"/>
            <w:shd w:val="clear" w:color="auto" w:fill="FFFFFF"/>
          </w:tcPr>
          <w:p w14:paraId="2C915DFE" w14:textId="2B26768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-</w:t>
            </w:r>
          </w:p>
        </w:tc>
        <w:tc>
          <w:tcPr>
            <w:tcW w:w="714" w:type="pct"/>
            <w:shd w:val="clear" w:color="auto" w:fill="FFFFFF"/>
          </w:tcPr>
          <w:p w14:paraId="5FCFABEB" w14:textId="6B384E2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12.83</w:t>
            </w:r>
          </w:p>
        </w:tc>
        <w:tc>
          <w:tcPr>
            <w:tcW w:w="714" w:type="pct"/>
            <w:shd w:val="clear" w:color="auto" w:fill="FFFFFF"/>
          </w:tcPr>
          <w:p w14:paraId="3D033D9F" w14:textId="7E8575C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405FE224" w14:textId="3458260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39734FB4" w14:textId="2F292C24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17C570F4" w14:textId="4298160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*</w:t>
            </w:r>
          </w:p>
        </w:tc>
      </w:tr>
      <w:tr w:rsidR="00DC630A" w:rsidRPr="00B57B36" w14:paraId="3EF3A106" w14:textId="77777777" w:rsidTr="00000872">
        <w:tc>
          <w:tcPr>
            <w:tcW w:w="715" w:type="pct"/>
            <w:shd w:val="clear" w:color="auto" w:fill="FFFFFF"/>
          </w:tcPr>
          <w:p w14:paraId="5D361077" w14:textId="5B80C36D" w:rsidR="00DC630A" w:rsidRPr="00BF028A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7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8</w:t>
            </w:r>
          </w:p>
        </w:tc>
        <w:tc>
          <w:tcPr>
            <w:tcW w:w="715" w:type="pct"/>
            <w:shd w:val="clear" w:color="auto" w:fill="FFFFFF"/>
          </w:tcPr>
          <w:p w14:paraId="7E229C4A" w14:textId="7D9F0CD5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-</w:t>
            </w:r>
          </w:p>
        </w:tc>
        <w:tc>
          <w:tcPr>
            <w:tcW w:w="714" w:type="pct"/>
            <w:shd w:val="clear" w:color="auto" w:fill="FFFFFF"/>
          </w:tcPr>
          <w:p w14:paraId="10D2B4C7" w14:textId="6A1C55CF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1.80</w:t>
            </w:r>
          </w:p>
        </w:tc>
        <w:tc>
          <w:tcPr>
            <w:tcW w:w="714" w:type="pct"/>
            <w:shd w:val="clear" w:color="auto" w:fill="FFFFFF"/>
          </w:tcPr>
          <w:p w14:paraId="7E6DED5D" w14:textId="6105898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5A37F608" w14:textId="34B8EE55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2FE66474" w14:textId="598F33E9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34A87DEC" w14:textId="5F92936A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*</w:t>
            </w:r>
          </w:p>
        </w:tc>
      </w:tr>
      <w:tr w:rsidR="00DC630A" w:rsidRPr="00B57B36" w14:paraId="6E4957CE" w14:textId="77777777" w:rsidTr="00000872">
        <w:tc>
          <w:tcPr>
            <w:tcW w:w="715" w:type="pct"/>
            <w:shd w:val="clear" w:color="auto" w:fill="FFFFFF"/>
          </w:tcPr>
          <w:p w14:paraId="47072BA9" w14:textId="1772F597" w:rsidR="00DC630A" w:rsidRPr="00BF028A" w:rsidRDefault="00DC630A" w:rsidP="00DC630A">
            <w:pPr>
              <w:pStyle w:val="CETBodytext"/>
              <w:ind w:right="-1"/>
              <w:rPr>
                <w:rFonts w:eastAsia="新細明體" w:cs="Arial"/>
                <w:szCs w:val="18"/>
                <w:vertAlign w:val="subscript"/>
                <w:lang w:val="en-GB" w:eastAsia="zh-TW"/>
              </w:rPr>
            </w:pPr>
            <w:r>
              <w:rPr>
                <w:rFonts w:eastAsia="新細明體" w:cs="Arial" w:hint="eastAsia"/>
                <w:szCs w:val="18"/>
                <w:lang w:val="en-GB" w:eastAsia="zh-TW"/>
              </w:rPr>
              <w:t>C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7</w:t>
            </w:r>
            <w:r>
              <w:rPr>
                <w:rFonts w:eastAsia="新細明體" w:cs="Arial"/>
                <w:szCs w:val="18"/>
                <w:lang w:val="en-GB" w:eastAsia="zh-TW"/>
              </w:rPr>
              <w:t>H</w:t>
            </w:r>
            <w:r>
              <w:rPr>
                <w:rFonts w:eastAsia="新細明體" w:cs="Arial"/>
                <w:szCs w:val="18"/>
                <w:vertAlign w:val="subscript"/>
                <w:lang w:val="en-GB" w:eastAsia="zh-TW"/>
              </w:rPr>
              <w:t>14</w:t>
            </w:r>
          </w:p>
        </w:tc>
        <w:tc>
          <w:tcPr>
            <w:tcW w:w="715" w:type="pct"/>
            <w:shd w:val="clear" w:color="auto" w:fill="FFFFFF"/>
          </w:tcPr>
          <w:p w14:paraId="7922CF4D" w14:textId="59BC531E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956D1">
              <w:t>-</w:t>
            </w:r>
          </w:p>
        </w:tc>
        <w:tc>
          <w:tcPr>
            <w:tcW w:w="714" w:type="pct"/>
            <w:shd w:val="clear" w:color="auto" w:fill="FFFFFF"/>
          </w:tcPr>
          <w:p w14:paraId="4777C62B" w14:textId="5C14E666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87553">
              <w:t>13.05</w:t>
            </w:r>
          </w:p>
        </w:tc>
        <w:tc>
          <w:tcPr>
            <w:tcW w:w="714" w:type="pct"/>
            <w:shd w:val="clear" w:color="auto" w:fill="FFFFFF"/>
          </w:tcPr>
          <w:p w14:paraId="58FA2993" w14:textId="2C7AA9B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D2D16">
              <w:t>-</w:t>
            </w:r>
          </w:p>
        </w:tc>
        <w:tc>
          <w:tcPr>
            <w:tcW w:w="714" w:type="pct"/>
            <w:shd w:val="clear" w:color="auto" w:fill="FFFFFF"/>
          </w:tcPr>
          <w:p w14:paraId="1019D0F6" w14:textId="359C0766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D63A5">
              <w:t>-</w:t>
            </w:r>
          </w:p>
        </w:tc>
        <w:tc>
          <w:tcPr>
            <w:tcW w:w="714" w:type="pct"/>
            <w:shd w:val="clear" w:color="auto" w:fill="FFFFFF"/>
          </w:tcPr>
          <w:p w14:paraId="497217B4" w14:textId="65C75722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E70D03">
              <w:t>-</w:t>
            </w:r>
          </w:p>
        </w:tc>
        <w:tc>
          <w:tcPr>
            <w:tcW w:w="714" w:type="pct"/>
            <w:shd w:val="clear" w:color="auto" w:fill="FFFFFF"/>
          </w:tcPr>
          <w:p w14:paraId="39041FEB" w14:textId="152E272C" w:rsidR="00DC630A" w:rsidRPr="00B57B36" w:rsidRDefault="00DC630A" w:rsidP="00DC630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27486">
              <w:t>*</w:t>
            </w:r>
          </w:p>
        </w:tc>
      </w:tr>
    </w:tbl>
    <w:p w14:paraId="774BA302" w14:textId="2D046F07" w:rsidR="00CA4518" w:rsidRDefault="00000872" w:rsidP="00A0169A">
      <w:pPr>
        <w:pStyle w:val="CETBodytext"/>
        <w:rPr>
          <w:lang w:val="en-GB"/>
        </w:rPr>
      </w:pPr>
      <w:r w:rsidRPr="00000872">
        <w:rPr>
          <w:lang w:val="en-GB"/>
        </w:rPr>
        <w:t>*: significant amount; -: trace</w:t>
      </w:r>
    </w:p>
    <w:p w14:paraId="2AEC6AC5" w14:textId="1582AA65" w:rsidR="000714A6" w:rsidRPr="000714A6" w:rsidRDefault="000714A6" w:rsidP="000714A6">
      <w:pPr>
        <w:pStyle w:val="CETHeading1"/>
        <w:rPr>
          <w:lang w:val="en-GB"/>
        </w:rPr>
      </w:pPr>
      <w:r>
        <w:rPr>
          <w:lang w:val="en-GB"/>
        </w:rPr>
        <w:t>Tail-chase operating procedure</w:t>
      </w:r>
    </w:p>
    <w:p w14:paraId="160A377A" w14:textId="7430B0A1" w:rsidR="009B76D7" w:rsidRPr="009B76D7" w:rsidRDefault="004F6ABE" w:rsidP="009B76D7">
      <w:pPr>
        <w:pStyle w:val="CETBodytext"/>
        <w:rPr>
          <w:lang w:val="en-GB"/>
        </w:rPr>
      </w:pPr>
      <w:r>
        <w:rPr>
          <w:lang w:val="en-GB"/>
        </w:rPr>
        <w:t>The</w:t>
      </w:r>
      <w:r w:rsidR="009B76D7" w:rsidRPr="009B76D7">
        <w:rPr>
          <w:lang w:val="en-GB"/>
        </w:rPr>
        <w:t xml:space="preserve"> tail-chase </w:t>
      </w:r>
      <w:r w:rsidR="00EA46FD">
        <w:rPr>
          <w:lang w:val="en-GB"/>
        </w:rPr>
        <w:t xml:space="preserve">operating </w:t>
      </w:r>
      <w:r w:rsidR="009B76D7" w:rsidRPr="009B76D7">
        <w:rPr>
          <w:lang w:val="en-GB"/>
        </w:rPr>
        <w:t xml:space="preserve">procedure </w:t>
      </w:r>
      <w:r w:rsidR="00EA46FD">
        <w:rPr>
          <w:lang w:val="en-GB"/>
        </w:rPr>
        <w:t xml:space="preserve">used </w:t>
      </w:r>
      <w:r w:rsidR="009B76D7" w:rsidRPr="009B76D7">
        <w:rPr>
          <w:lang w:val="en-GB"/>
        </w:rPr>
        <w:t>for</w:t>
      </w:r>
      <w:r w:rsidR="00EA46FD">
        <w:rPr>
          <w:lang w:val="en-GB"/>
        </w:rPr>
        <w:t xml:space="preserve"> handling</w:t>
      </w:r>
      <w:r w:rsidR="009B76D7" w:rsidRPr="009B76D7">
        <w:rPr>
          <w:lang w:val="en-GB"/>
        </w:rPr>
        <w:t xml:space="preserve"> </w:t>
      </w:r>
      <w:r>
        <w:rPr>
          <w:lang w:val="en-GB"/>
        </w:rPr>
        <w:t>an</w:t>
      </w:r>
      <w:r w:rsidR="009B76D7" w:rsidRPr="009B76D7">
        <w:rPr>
          <w:lang w:val="en-GB"/>
        </w:rPr>
        <w:t xml:space="preserve"> identifi</w:t>
      </w:r>
      <w:r w:rsidR="00EA46FD">
        <w:rPr>
          <w:lang w:val="en-GB"/>
        </w:rPr>
        <w:t>able front-end</w:t>
      </w:r>
      <w:r w:rsidR="009B76D7" w:rsidRPr="009B76D7">
        <w:rPr>
          <w:lang w:val="en-GB"/>
        </w:rPr>
        <w:t xml:space="preserve"> failure</w:t>
      </w:r>
      <w:r w:rsidR="00EA46FD">
        <w:rPr>
          <w:lang w:val="en-GB"/>
        </w:rPr>
        <w:t xml:space="preserve"> </w:t>
      </w:r>
      <w:r>
        <w:rPr>
          <w:lang w:val="en-GB"/>
        </w:rPr>
        <w:t>consist</w:t>
      </w:r>
      <w:r w:rsidR="00510A2C">
        <w:rPr>
          <w:lang w:val="en-GB"/>
        </w:rPr>
        <w:t>s</w:t>
      </w:r>
      <w:r>
        <w:rPr>
          <w:lang w:val="en-GB"/>
        </w:rPr>
        <w:t xml:space="preserve"> of</w:t>
      </w:r>
      <w:r w:rsidR="009B76D7" w:rsidRPr="009B76D7">
        <w:rPr>
          <w:lang w:val="en-GB"/>
        </w:rPr>
        <w:t xml:space="preserve"> four steps</w:t>
      </w:r>
      <w:r>
        <w:rPr>
          <w:lang w:val="en-GB"/>
        </w:rPr>
        <w:t>:</w:t>
      </w:r>
    </w:p>
    <w:p w14:paraId="52DAFDE0" w14:textId="64BD94F6" w:rsidR="001D0CFB" w:rsidRDefault="009B76D7" w:rsidP="009B76D7">
      <w:pPr>
        <w:pStyle w:val="CETBodytext"/>
        <w:rPr>
          <w:lang w:val="en-GB"/>
        </w:rPr>
      </w:pPr>
      <w:r w:rsidRPr="00DD75B0">
        <w:rPr>
          <w:i/>
          <w:u w:val="single"/>
          <w:lang w:val="en-GB"/>
        </w:rPr>
        <w:t>Step 1</w:t>
      </w:r>
      <w:r w:rsidRPr="00D92EBD">
        <w:rPr>
          <w:i/>
          <w:lang w:val="en-GB"/>
        </w:rPr>
        <w:t>: construction of process structure</w:t>
      </w:r>
      <w:r w:rsidRPr="009B76D7">
        <w:rPr>
          <w:lang w:val="en-GB"/>
        </w:rPr>
        <w:t xml:space="preserve">. Let us consider the </w:t>
      </w:r>
      <w:r w:rsidR="00A01B59">
        <w:rPr>
          <w:lang w:val="en-GB"/>
        </w:rPr>
        <w:t>PFD</w:t>
      </w:r>
      <w:r w:rsidRPr="009B76D7">
        <w:rPr>
          <w:lang w:val="en-GB"/>
        </w:rPr>
        <w:t xml:space="preserve"> in Figure </w:t>
      </w:r>
      <w:r w:rsidR="00A01B59">
        <w:rPr>
          <w:lang w:val="en-GB"/>
        </w:rPr>
        <w:t>1 together with</w:t>
      </w:r>
      <w:r w:rsidRPr="009B76D7">
        <w:rPr>
          <w:lang w:val="en-GB"/>
        </w:rPr>
        <w:t xml:space="preserve"> the mass-balance data in Table </w:t>
      </w:r>
      <w:r w:rsidR="00A01B59">
        <w:rPr>
          <w:lang w:val="en-GB"/>
        </w:rPr>
        <w:t>1</w:t>
      </w:r>
      <w:r w:rsidRPr="009B76D7">
        <w:rPr>
          <w:lang w:val="en-GB"/>
        </w:rPr>
        <w:t xml:space="preserve"> first. </w:t>
      </w:r>
      <w:r w:rsidR="00A01B59">
        <w:rPr>
          <w:lang w:val="en-GB"/>
        </w:rPr>
        <w:t>If</w:t>
      </w:r>
      <w:r w:rsidRPr="009B76D7">
        <w:rPr>
          <w:lang w:val="en-GB"/>
        </w:rPr>
        <w:t xml:space="preserve"> the targeted abnormal incident occur</w:t>
      </w:r>
      <w:r w:rsidR="00A01B59">
        <w:rPr>
          <w:lang w:val="en-GB"/>
        </w:rPr>
        <w:t>s</w:t>
      </w:r>
      <w:r w:rsidRPr="009B76D7">
        <w:rPr>
          <w:lang w:val="en-GB"/>
        </w:rPr>
        <w:t xml:space="preserve">, the two inlet valves VIN and VIN2 must be </w:t>
      </w:r>
      <w:r w:rsidR="00784560">
        <w:rPr>
          <w:lang w:val="en-GB"/>
        </w:rPr>
        <w:t>closed</w:t>
      </w:r>
      <w:r w:rsidR="00A01B59">
        <w:rPr>
          <w:lang w:val="en-GB"/>
        </w:rPr>
        <w:t xml:space="preserve"> to cut off</w:t>
      </w:r>
      <w:r w:rsidRPr="009B76D7">
        <w:rPr>
          <w:lang w:val="en-GB"/>
        </w:rPr>
        <w:t xml:space="preserve"> the </w:t>
      </w:r>
      <w:r w:rsidR="00A01B59">
        <w:rPr>
          <w:lang w:val="en-GB"/>
        </w:rPr>
        <w:t>external</w:t>
      </w:r>
      <w:r w:rsidRPr="009B76D7">
        <w:rPr>
          <w:lang w:val="en-GB"/>
        </w:rPr>
        <w:t xml:space="preserve"> feeds completely</w:t>
      </w:r>
      <w:r w:rsidR="00784560">
        <w:rPr>
          <w:lang w:val="en-GB"/>
        </w:rPr>
        <w:t>. In addition,</w:t>
      </w:r>
      <w:r w:rsidRPr="009B76D7">
        <w:rPr>
          <w:lang w:val="en-GB"/>
        </w:rPr>
        <w:t xml:space="preserve"> all </w:t>
      </w:r>
      <w:r w:rsidR="00784560">
        <w:rPr>
          <w:lang w:val="en-GB"/>
        </w:rPr>
        <w:t>output</w:t>
      </w:r>
      <w:r w:rsidR="00F931E7">
        <w:rPr>
          <w:lang w:val="en-GB"/>
        </w:rPr>
        <w:t xml:space="preserve"> streams</w:t>
      </w:r>
      <w:r w:rsidRPr="009B76D7">
        <w:rPr>
          <w:lang w:val="en-GB"/>
        </w:rPr>
        <w:t xml:space="preserve"> of the distillation </w:t>
      </w:r>
      <w:r w:rsidR="00784560">
        <w:rPr>
          <w:lang w:val="en-GB"/>
        </w:rPr>
        <w:t xml:space="preserve">train should be </w:t>
      </w:r>
      <w:r w:rsidRPr="009B76D7">
        <w:rPr>
          <w:lang w:val="en-GB"/>
        </w:rPr>
        <w:t xml:space="preserve">recycled to the inlet mixers MIX and MIX2 after shutting down </w:t>
      </w:r>
      <w:r w:rsidR="00784560" w:rsidRPr="00784560">
        <w:rPr>
          <w:lang w:val="en-GB"/>
        </w:rPr>
        <w:t>VTOP1, VTOP2, VTOP3 and VBOT3</w:t>
      </w:r>
      <w:r w:rsidRPr="009B76D7">
        <w:rPr>
          <w:lang w:val="en-GB"/>
        </w:rPr>
        <w:t xml:space="preserve"> on </w:t>
      </w:r>
      <w:r w:rsidR="00784560">
        <w:rPr>
          <w:lang w:val="en-GB"/>
        </w:rPr>
        <w:t>the</w:t>
      </w:r>
      <w:r w:rsidRPr="009B76D7">
        <w:rPr>
          <w:lang w:val="en-GB"/>
        </w:rPr>
        <w:t xml:space="preserve"> outgoing product lines.  The tail-chase</w:t>
      </w:r>
      <w:r w:rsidR="00784560">
        <w:rPr>
          <w:lang w:val="en-GB"/>
        </w:rPr>
        <w:t xml:space="preserve"> configuration</w:t>
      </w:r>
      <w:r w:rsidRPr="009B76D7">
        <w:rPr>
          <w:lang w:val="en-GB"/>
        </w:rPr>
        <w:t xml:space="preserve"> can be constructed according to the </w:t>
      </w:r>
      <w:r w:rsidR="00784560">
        <w:rPr>
          <w:lang w:val="en-GB"/>
        </w:rPr>
        <w:t xml:space="preserve">following </w:t>
      </w:r>
      <w:r w:rsidRPr="009B76D7">
        <w:rPr>
          <w:lang w:val="en-GB"/>
        </w:rPr>
        <w:t>considerations</w:t>
      </w:r>
      <w:r w:rsidR="001D0CFB">
        <w:rPr>
          <w:lang w:val="en-GB"/>
        </w:rPr>
        <w:t>.</w:t>
      </w:r>
    </w:p>
    <w:p w14:paraId="04EF47B4" w14:textId="3575ED4E" w:rsidR="009B76D7" w:rsidRDefault="00510A2C" w:rsidP="009B76D7">
      <w:pPr>
        <w:pStyle w:val="CETBodytext"/>
        <w:numPr>
          <w:ilvl w:val="0"/>
          <w:numId w:val="24"/>
        </w:numPr>
        <w:rPr>
          <w:lang w:val="en-GB"/>
        </w:rPr>
      </w:pPr>
      <w:r>
        <w:rPr>
          <w:lang w:val="en-GB"/>
        </w:rPr>
        <w:t>S</w:t>
      </w:r>
      <w:r w:rsidR="009B76D7" w:rsidRPr="009B76D7">
        <w:rPr>
          <w:lang w:val="en-GB"/>
        </w:rPr>
        <w:t xml:space="preserve">ince </w:t>
      </w:r>
      <w:bookmarkStart w:id="4" w:name="_Hlk181611471"/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's</m:t>
        </m:r>
      </m:oMath>
      <w:bookmarkEnd w:id="4"/>
      <w:r w:rsidR="009B76D7" w:rsidRPr="009B76D7">
        <w:rPr>
          <w:lang w:val="en-GB"/>
        </w:rPr>
        <w:t xml:space="preserve"> is not present in </w:t>
      </w:r>
      <w:r w:rsidR="00EA46FD">
        <w:rPr>
          <w:lang w:val="en-GB"/>
        </w:rPr>
        <w:t xml:space="preserve">the second </w:t>
      </w:r>
      <w:r>
        <w:rPr>
          <w:lang w:val="en-GB"/>
        </w:rPr>
        <w:t xml:space="preserve">feed </w:t>
      </w:r>
      <w:r w:rsidR="009B76D7" w:rsidRPr="009B76D7">
        <w:rPr>
          <w:lang w:val="en-GB"/>
        </w:rPr>
        <w:t>stream 2088</w:t>
      </w:r>
      <w:r>
        <w:rPr>
          <w:lang w:val="en-GB"/>
        </w:rPr>
        <w:t xml:space="preserve"> and</w:t>
      </w:r>
      <w:r w:rsidR="00784560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's</m:t>
        </m:r>
      </m:oMath>
      <w:r w:rsidR="009B76D7" w:rsidRPr="009B76D7">
        <w:rPr>
          <w:lang w:val="en-GB"/>
        </w:rPr>
        <w:t xml:space="preserve"> are the major components of </w:t>
      </w:r>
      <w:r w:rsidR="00EA46FD">
        <w:rPr>
          <w:lang w:val="en-GB"/>
        </w:rPr>
        <w:t xml:space="preserve">the first </w:t>
      </w:r>
      <w:r>
        <w:rPr>
          <w:lang w:val="en-GB"/>
        </w:rPr>
        <w:t xml:space="preserve">feed </w:t>
      </w:r>
      <w:r w:rsidR="009B76D7" w:rsidRPr="009B76D7">
        <w:rPr>
          <w:lang w:val="en-GB"/>
        </w:rPr>
        <w:t xml:space="preserve">stream 4001 according to Table </w:t>
      </w:r>
      <w:r w:rsidR="00784560">
        <w:rPr>
          <w:lang w:val="en-GB"/>
        </w:rPr>
        <w:t>1</w:t>
      </w:r>
      <w:r w:rsidR="009B76D7" w:rsidRPr="009B76D7">
        <w:rPr>
          <w:lang w:val="en-GB"/>
        </w:rPr>
        <w:t xml:space="preserve">, splitting </w:t>
      </w:r>
      <w:r w:rsidR="00784560" w:rsidRPr="009B76D7">
        <w:rPr>
          <w:i/>
          <w:lang w:val="en-GB"/>
        </w:rPr>
        <w:t>TOP1</w:t>
      </w:r>
      <w:r w:rsidR="00784560" w:rsidRPr="009B76D7">
        <w:rPr>
          <w:lang w:val="en-GB"/>
        </w:rPr>
        <w:t xml:space="preserve"> </w:t>
      </w:r>
      <w:r w:rsidR="009B76D7" w:rsidRPr="009B76D7">
        <w:rPr>
          <w:lang w:val="en-GB"/>
        </w:rPr>
        <w:t xml:space="preserve">is not </w:t>
      </w:r>
      <w:r w:rsidR="00784560">
        <w:rPr>
          <w:lang w:val="en-GB"/>
        </w:rPr>
        <w:t>needed</w:t>
      </w:r>
      <w:r w:rsidR="009B76D7" w:rsidRPr="009B76D7">
        <w:rPr>
          <w:lang w:val="en-GB"/>
        </w:rPr>
        <w:t>.</w:t>
      </w:r>
      <w:r>
        <w:rPr>
          <w:lang w:val="en-GB"/>
        </w:rPr>
        <w:t xml:space="preserve"> Thus, </w:t>
      </w:r>
      <w:r w:rsidRPr="00510A2C">
        <w:rPr>
          <w:lang w:val="en-GB"/>
        </w:rPr>
        <w:t>TOP1 should be recycled only to MIX.</w:t>
      </w:r>
    </w:p>
    <w:p w14:paraId="03AD7CFC" w14:textId="7274FFCE" w:rsidR="00D92EBD" w:rsidRPr="00D92EBD" w:rsidRDefault="009B76D7" w:rsidP="00D92EBD">
      <w:pPr>
        <w:pStyle w:val="CETBodytext"/>
        <w:numPr>
          <w:ilvl w:val="0"/>
          <w:numId w:val="24"/>
        </w:numPr>
        <w:rPr>
          <w:lang w:val="en-GB"/>
        </w:rPr>
      </w:pPr>
      <w:r w:rsidRPr="009B76D7">
        <w:rPr>
          <w:rFonts w:hint="eastAsia"/>
          <w:lang w:val="en-GB"/>
        </w:rPr>
        <w:t>S</w:t>
      </w:r>
      <w:r w:rsidRPr="009B76D7">
        <w:rPr>
          <w:lang w:val="en-GB"/>
        </w:rPr>
        <w:t>ince the overhead product</w:t>
      </w:r>
      <w:r w:rsidR="0029498E">
        <w:rPr>
          <w:lang w:val="en-GB"/>
        </w:rPr>
        <w:t xml:space="preserve"> stream</w:t>
      </w:r>
      <w:r w:rsidR="00723E98" w:rsidRPr="009B76D7">
        <w:rPr>
          <w:lang w:val="en-GB"/>
        </w:rPr>
        <w:t xml:space="preserve"> </w:t>
      </w:r>
      <w:bookmarkStart w:id="5" w:name="_Hlk161331577"/>
      <m:oMath>
        <m:r>
          <w:rPr>
            <w:rFonts w:ascii="Cambria Math" w:hAnsi="Cambria Math"/>
            <w:lang w:val="en-GB"/>
          </w:rPr>
          <m:t>TOP2</m:t>
        </m:r>
      </m:oMath>
      <w:bookmarkEnd w:id="5"/>
      <w:r w:rsidRPr="009B76D7">
        <w:rPr>
          <w:lang w:val="en-GB"/>
        </w:rPr>
        <w:t xml:space="preserve"> of</w:t>
      </w:r>
      <w:r w:rsidR="00723E98">
        <w:rPr>
          <w:lang w:val="en-GB"/>
        </w:rPr>
        <w:t xml:space="preserve"> column</w:t>
      </w:r>
      <w:r w:rsidRPr="009B76D7">
        <w:rPr>
          <w:lang w:val="en-GB"/>
        </w:rPr>
        <w:t xml:space="preserve"> T-4501 contains almost only </w:t>
      </w:r>
      <w:bookmarkStart w:id="6" w:name="_Hlk175241032"/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's</m:t>
        </m:r>
      </m:oMath>
      <w:bookmarkEnd w:id="6"/>
      <w:r w:rsidRPr="009B76D7">
        <w:rPr>
          <w:rFonts w:hint="eastAsia"/>
          <w:lang w:val="en-GB"/>
        </w:rPr>
        <w:t xml:space="preserve"> </w:t>
      </w:r>
      <w:r w:rsidRPr="009B76D7">
        <w:rPr>
          <w:lang w:val="en-GB"/>
        </w:rPr>
        <w:t xml:space="preserve">and they are also present in streams 4001 and 2088, it is reasonable to split </w:t>
      </w:r>
      <w:bookmarkStart w:id="7" w:name="_Hlk173339034"/>
      <m:oMath>
        <m:r>
          <w:rPr>
            <w:rFonts w:ascii="Cambria Math" w:hAnsi="Cambria Math"/>
            <w:lang w:val="en-GB"/>
          </w:rPr>
          <m:t>TOP2</m:t>
        </m:r>
      </m:oMath>
      <w:bookmarkEnd w:id="7"/>
      <w:r w:rsidRPr="009B76D7">
        <w:rPr>
          <w:rFonts w:hint="eastAsia"/>
          <w:lang w:val="en-GB"/>
        </w:rPr>
        <w:t xml:space="preserve"> </w:t>
      </w:r>
      <w:r w:rsidRPr="009B76D7">
        <w:rPr>
          <w:lang w:val="en-GB"/>
        </w:rPr>
        <w:t xml:space="preserve">according to a properly selected flow fraction (denoted as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GB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  <w:lang w:val="en-GB"/>
              </w:rPr>
              <m:t>C3s</m:t>
            </m:r>
          </m:sub>
        </m:sSub>
      </m:oMath>
      <w:r w:rsidRPr="009B76D7">
        <w:rPr>
          <w:lang w:val="en-GB"/>
        </w:rPr>
        <w:t>) and send the resultin</w:t>
      </w:r>
      <w:r w:rsidR="00723E98">
        <w:rPr>
          <w:lang w:val="en-GB"/>
        </w:rPr>
        <w:t>g</w:t>
      </w:r>
      <w:r w:rsidRPr="009B76D7">
        <w:rPr>
          <w:lang w:val="en-GB"/>
        </w:rPr>
        <w:t xml:space="preserve"> streams to mixers MIX and MIX2, respectively. </w:t>
      </w:r>
      <w:r w:rsidR="00723E98" w:rsidRPr="00733A1E">
        <w:rPr>
          <w:lang w:val="en-GB"/>
        </w:rPr>
        <w:t>T</w:t>
      </w:r>
      <w:r w:rsidRPr="00733A1E">
        <w:rPr>
          <w:lang w:val="en-GB"/>
        </w:rPr>
        <w:t xml:space="preserve">he flow fraction to MIX </w:t>
      </w:r>
      <w:r w:rsidR="00723E98" w:rsidRPr="00733A1E">
        <w:rPr>
          <w:lang w:val="en-GB"/>
        </w:rPr>
        <w:t>can be</w:t>
      </w:r>
      <w:r w:rsidRPr="00733A1E">
        <w:rPr>
          <w:lang w:val="en-GB"/>
        </w:rPr>
        <w:t xml:space="preserve"> estimated as follows</w:t>
      </w:r>
    </w:p>
    <w:tbl>
      <w:tblPr>
        <w:tblStyle w:val="afffb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4112"/>
      </w:tblGrid>
      <w:tr w:rsidR="009B76D7" w14:paraId="70DF5BD2" w14:textId="77777777" w:rsidTr="00733A1E">
        <w:tc>
          <w:tcPr>
            <w:tcW w:w="4185" w:type="dxa"/>
          </w:tcPr>
          <w:bookmarkStart w:id="8" w:name="_Hlk175584888"/>
          <w:p w14:paraId="3967B556" w14:textId="755058C1" w:rsidR="009B76D7" w:rsidRPr="00D92EBD" w:rsidRDefault="003269CB" w:rsidP="009B76D7">
            <w:pPr>
              <w:pStyle w:val="CETBodytext"/>
              <w:rPr>
                <w:rFonts w:cs="Arial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vertAlign w:val="subscript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vertAlign w:val="subscript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vertAlign w:val="subscript"/>
                        <w:lang w:val="en-GB"/>
                      </w:rPr>
                      <m:t>C3s</m:t>
                    </m:r>
                  </m:sub>
                </m:sSub>
                <w:bookmarkEnd w:id="8"/>
                <m:r>
                  <w:rPr>
                    <w:rFonts w:ascii="Cambria Math" w:hAnsi="Cambria Math" w:cs="Arial"/>
                    <w:vertAlign w:val="subscript"/>
                    <w:lang w:val="en-GB"/>
                  </w:rPr>
                  <m:t>≈</m:t>
                </m:r>
                <m:f>
                  <m:fPr>
                    <m:type m:val="lin"/>
                    <m:ctrlPr>
                      <w:rPr>
                        <w:rFonts w:ascii="Cambria Math" w:hAnsi="Cambria Math" w:cs="Arial"/>
                        <w:vertAlign w:val="subscript"/>
                        <w:lang w:val="en-GB"/>
                      </w:rPr>
                    </m:ctrlPr>
                  </m:fPr>
                  <m:num>
                    <w:bookmarkStart w:id="9" w:name="_Hlk175240553"/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vertAlign w:val="subscript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vertAlign w:val="subscript"/>
                            <w:lang w:val="en-GB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vertAlign w:val="subscript"/>
                            <w:lang w:val="en-GB"/>
                          </w:rPr>
                          <m:t>C3s</m:t>
                        </m:r>
                      </m:sub>
                    </m:sSub>
                    <w:bookmarkEnd w:id="9"/>
                  </m:num>
                  <m:den>
                    <w:bookmarkStart w:id="10" w:name="_Hlk175241117"/>
                    <m:sSub>
                      <m:sSubPr>
                        <m:ctrlPr>
                          <w:rPr>
                            <w:rFonts w:ascii="Cambria Math" w:hAnsi="Cambria Math" w:cs="Arial"/>
                            <w:vertAlign w:val="subscript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vertAlign w:val="subscript"/>
                            <w:lang w:val="en-GB"/>
                          </w:rPr>
                          <m:t>TOP2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vertAlign w:val="subscript"/>
                            <w:lang w:val="en-GB"/>
                          </w:rPr>
                          <m:t>C3s</m:t>
                        </m:r>
                      </m:sub>
                    </m:sSub>
                    <w:bookmarkEnd w:id="10"/>
                  </m:den>
                </m:f>
              </m:oMath>
            </m:oMathPara>
          </w:p>
        </w:tc>
        <w:tc>
          <w:tcPr>
            <w:tcW w:w="4112" w:type="dxa"/>
          </w:tcPr>
          <w:p w14:paraId="5AA46C66" w14:textId="24A17CC3" w:rsidR="009B76D7" w:rsidRPr="00D92EBD" w:rsidRDefault="00D92EBD" w:rsidP="00D92EBD">
            <w:pPr>
              <w:pStyle w:val="CETBodytext"/>
              <w:jc w:val="right"/>
              <w:rPr>
                <w:rFonts w:eastAsia="新細明體"/>
                <w:lang w:val="en-GB" w:eastAsia="zh-TW"/>
              </w:rPr>
            </w:pPr>
            <w:r>
              <w:rPr>
                <w:rFonts w:eastAsia="新細明體" w:hint="eastAsia"/>
                <w:lang w:val="en-GB" w:eastAsia="zh-TW"/>
              </w:rPr>
              <w:t>(</w:t>
            </w:r>
            <w:r>
              <w:rPr>
                <w:rFonts w:eastAsia="新細明體"/>
                <w:lang w:val="en-GB" w:eastAsia="zh-TW"/>
              </w:rPr>
              <w:t>1)</w:t>
            </w:r>
          </w:p>
        </w:tc>
      </w:tr>
    </w:tbl>
    <w:p w14:paraId="658E7BDD" w14:textId="3D027FBD" w:rsidR="00D92EBD" w:rsidRDefault="00D92EBD" w:rsidP="00D92EBD">
      <w:pPr>
        <w:pStyle w:val="CETBodytext"/>
        <w:ind w:left="480"/>
      </w:pPr>
      <w:r w:rsidRPr="00D92EBD">
        <w:t xml:space="preserve">where,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</w:rPr>
              <m:t>C3s</m:t>
            </m:r>
          </m:sub>
        </m:sSub>
      </m:oMath>
      <w:r w:rsidRPr="00D92EBD">
        <w:t xml:space="preserve"> is the total mass flowrate </w:t>
      </w:r>
      <w:bookmarkStart w:id="11" w:name="_Hlk181612938"/>
      <w:r w:rsidRPr="00D92EBD">
        <w:t xml:space="preserve">of </w:t>
      </w:r>
      <w:bookmarkStart w:id="12" w:name="_Hlk175585739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's</m:t>
        </m:r>
      </m:oMath>
      <w:bookmarkEnd w:id="12"/>
      <w:r w:rsidRPr="00D92EBD">
        <w:t xml:space="preserve"> in the first feed and </w:t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TOP2</m:t>
            </m:r>
          </m:e>
          <m:sub>
            <m:r>
              <w:rPr>
                <w:rFonts w:ascii="Cambria Math" w:hAnsi="Cambria Math"/>
                <w:vertAlign w:val="subscript"/>
              </w:rPr>
              <m:t>C3s</m:t>
            </m:r>
          </m:sub>
        </m:sSub>
      </m:oMath>
      <w:r w:rsidRPr="00D92EBD">
        <w:rPr>
          <w:rFonts w:hint="eastAsia"/>
        </w:rPr>
        <w:t xml:space="preserve"> </w:t>
      </w:r>
      <w:r w:rsidR="00733A1E">
        <w:t>denote</w:t>
      </w:r>
      <w:r w:rsidRPr="00D92EBD">
        <w:t xml:space="preserve">s the approximated mass flowrate of </w:t>
      </w:r>
      <m:oMath>
        <m:r>
          <w:rPr>
            <w:rFonts w:ascii="Cambria Math" w:hAnsi="Cambria Math"/>
          </w:rPr>
          <m:t>TOP2</m:t>
        </m:r>
      </m:oMath>
      <w:r w:rsidRPr="00D92EBD">
        <w:t>.</w:t>
      </w:r>
      <w:bookmarkEnd w:id="11"/>
      <w:r w:rsidRPr="00D92EBD">
        <w:t xml:space="preserve"> </w:t>
      </w:r>
      <w:proofErr w:type="gramStart"/>
      <w:r w:rsidR="00733A1E">
        <w:t>Eq(</w:t>
      </w:r>
      <w:proofErr w:type="gramEnd"/>
      <w:r w:rsidR="00733A1E">
        <w:t>1) can be established from the facts</w:t>
      </w:r>
      <w:r w:rsidRPr="00D92EBD">
        <w:t xml:space="preserve"> that</w:t>
      </w:r>
      <m:oMath>
        <m:r>
          <w:rPr>
            <w:rFonts w:ascii="Cambria Math" w:hAnsi="Cambria Math"/>
          </w:rPr>
          <m:t xml:space="preserve"> TOP2</m:t>
        </m:r>
      </m:oMath>
      <w:r w:rsidRPr="00D92EBD">
        <w:t xml:space="preserve"> contains almost only </w:t>
      </w:r>
      <w:bookmarkStart w:id="13" w:name="_Hlk181695259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's</m:t>
        </m:r>
      </m:oMath>
      <w:bookmarkEnd w:id="13"/>
      <w:r w:rsidRPr="00D92EBD">
        <w:t xml:space="preserve"> and the mass fraction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's</m:t>
        </m:r>
      </m:oMath>
      <w:r w:rsidRPr="00D92EBD">
        <w:t xml:space="preserve"> is significant in the feed </w:t>
      </w:r>
      <w:r w:rsidR="00B44083">
        <w:t xml:space="preserve">4001 </w:t>
      </w:r>
      <w:r w:rsidRPr="00D92EBD">
        <w:t xml:space="preserve">to </w:t>
      </w:r>
      <w:r w:rsidR="00B44083">
        <w:t>column T-4001</w:t>
      </w:r>
      <w:r w:rsidRPr="00D92EBD">
        <w:t xml:space="preserve">. Thus, </w:t>
      </w:r>
      <w:r w:rsidR="00733A1E">
        <w:t>from</w:t>
      </w:r>
      <w:r w:rsidRPr="00D92EBD">
        <w:t xml:space="preserve"> the mass-balance data in Table </w:t>
      </w:r>
      <w:r w:rsidR="00733A1E">
        <w:t>1</w:t>
      </w:r>
      <w:r w:rsidRPr="00D92EBD">
        <w:t xml:space="preserve">,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C3s</m:t>
            </m:r>
          </m:sub>
        </m:sSub>
      </m:oMath>
      <w:r w:rsidRPr="00D92EBD">
        <w:t xml:space="preserve"> can be </w:t>
      </w:r>
      <w:r w:rsidR="00733A1E">
        <w:t>estimated</w:t>
      </w:r>
      <w:r w:rsidRPr="00D92EBD">
        <w:t xml:space="preserve"> to be 0.86.</w:t>
      </w:r>
    </w:p>
    <w:p w14:paraId="55574F37" w14:textId="4ADEA2C6" w:rsidR="008C77D1" w:rsidRPr="00D92EBD" w:rsidRDefault="009570BA" w:rsidP="008C77D1">
      <w:pPr>
        <w:pStyle w:val="CETBodytext"/>
        <w:numPr>
          <w:ilvl w:val="0"/>
          <w:numId w:val="26"/>
        </w:numPr>
      </w:pPr>
      <w:r>
        <w:t xml:space="preserve">Since </w:t>
      </w:r>
      <w:r w:rsidR="008C77D1" w:rsidRPr="008C77D1">
        <w:rPr>
          <w:lang w:val="en-GB"/>
        </w:rPr>
        <w:t>the overhead product</w:t>
      </w:r>
      <w:r w:rsidR="00116653">
        <w:rPr>
          <w:lang w:val="en-GB"/>
        </w:rPr>
        <w:t xml:space="preserve"> stream</w:t>
      </w:r>
      <m:oMath>
        <m:r>
          <w:rPr>
            <w:rFonts w:ascii="Cambria Math" w:hAnsi="Cambria Math"/>
            <w:lang w:val="en-GB"/>
          </w:rPr>
          <m:t xml:space="preserve"> TOP3</m:t>
        </m:r>
      </m:oMath>
      <w:r w:rsidR="008C77D1" w:rsidRPr="008C77D1">
        <w:rPr>
          <w:lang w:val="en-GB"/>
        </w:rPr>
        <w:t xml:space="preserve"> of column T-5001 contains almost only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  <m:r>
          <w:rPr>
            <w:rFonts w:ascii="Cambria Math" w:hAnsi="Cambria Math"/>
            <w:lang w:val="en-GB"/>
          </w:rPr>
          <m:t>'s</m:t>
        </m:r>
      </m:oMath>
      <w:r w:rsidR="008C77D1" w:rsidRPr="008C77D1">
        <w:rPr>
          <w:rFonts w:hint="eastAsia"/>
          <w:lang w:val="en-GB"/>
        </w:rPr>
        <w:t xml:space="preserve"> </w:t>
      </w:r>
      <w:r w:rsidR="008C77D1" w:rsidRPr="008C77D1">
        <w:rPr>
          <w:lang w:val="en-GB"/>
        </w:rPr>
        <w:t>and they also present i</w:t>
      </w:r>
      <w:r>
        <w:rPr>
          <w:lang w:val="en-GB"/>
        </w:rPr>
        <w:t>n</w:t>
      </w:r>
      <w:r w:rsidR="008C77D1" w:rsidRPr="008C77D1">
        <w:rPr>
          <w:lang w:val="en-GB"/>
        </w:rPr>
        <w:t xml:space="preserve"> </w:t>
      </w:r>
      <w:r w:rsidR="00E97EA3">
        <w:rPr>
          <w:lang w:val="en-GB"/>
        </w:rPr>
        <w:t xml:space="preserve">feed </w:t>
      </w:r>
      <w:r w:rsidR="008C77D1" w:rsidRPr="008C77D1">
        <w:rPr>
          <w:lang w:val="en-GB"/>
        </w:rPr>
        <w:t xml:space="preserve">streams 4001 and 2088, it </w:t>
      </w:r>
      <w:r w:rsidR="00E97EA3">
        <w:rPr>
          <w:lang w:val="en-GB"/>
        </w:rPr>
        <w:t>should be</w:t>
      </w:r>
      <w:r w:rsidR="008C77D1" w:rsidRPr="008C77D1">
        <w:rPr>
          <w:lang w:val="en-GB"/>
        </w:rPr>
        <w:t xml:space="preserve"> split into two and send them to MIX and MIX2, respectively. The mass-flow fraction of the split stream directed to MIX (denoted as </w:t>
      </w:r>
      <w:bookmarkStart w:id="14" w:name="_Hlk181696044"/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GB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  <w:lang w:val="en-GB"/>
              </w:rPr>
              <m:t>C4s</m:t>
            </m:r>
          </m:sub>
        </m:sSub>
      </m:oMath>
      <w:bookmarkEnd w:id="14"/>
      <w:r w:rsidR="008C77D1" w:rsidRPr="008C77D1">
        <w:rPr>
          <w:lang w:val="en-GB"/>
        </w:rPr>
        <w:t xml:space="preserve">) can be estimated by using </w:t>
      </w:r>
      <w:proofErr w:type="spellStart"/>
      <w:proofErr w:type="gramStart"/>
      <w:r w:rsidR="00462F80" w:rsidRPr="00462F80">
        <w:rPr>
          <w:lang w:val="en-GB"/>
        </w:rPr>
        <w:t>Eq</w:t>
      </w:r>
      <w:proofErr w:type="spellEnd"/>
      <w:r w:rsidR="00462F80" w:rsidRPr="00462F80">
        <w:rPr>
          <w:lang w:val="en-GB"/>
        </w:rPr>
        <w:t>(</w:t>
      </w:r>
      <w:proofErr w:type="gramEnd"/>
      <w:r w:rsidR="00462F80">
        <w:rPr>
          <w:lang w:val="en-GB"/>
        </w:rPr>
        <w:t>2</w:t>
      </w:r>
      <w:r w:rsidR="00462F80" w:rsidRPr="00462F80">
        <w:rPr>
          <w:lang w:val="en-GB"/>
        </w:rPr>
        <w:t>)</w:t>
      </w:r>
      <w:r w:rsidR="008C77D1" w:rsidRPr="008C77D1">
        <w:rPr>
          <w:lang w:val="en-GB"/>
        </w:rPr>
        <w:t xml:space="preserve"> below</w:t>
      </w:r>
      <w:r>
        <w:rPr>
          <w:lang w:val="en-GB"/>
        </w:rPr>
        <w:t xml:space="preserve"> according to </w:t>
      </w:r>
      <w:r w:rsidR="008C77D1" w:rsidRPr="008C77D1">
        <w:rPr>
          <w:lang w:val="en-GB"/>
        </w:rPr>
        <w:t xml:space="preserve">the same rationale behind </w:t>
      </w:r>
      <w:proofErr w:type="spellStart"/>
      <w:r w:rsidR="00462F80" w:rsidRPr="00462F80">
        <w:rPr>
          <w:lang w:val="en-GB"/>
        </w:rPr>
        <w:t>Eq</w:t>
      </w:r>
      <w:proofErr w:type="spellEnd"/>
      <w:r w:rsidR="00462F80" w:rsidRPr="00462F80">
        <w:rPr>
          <w:lang w:val="en-GB"/>
        </w:rPr>
        <w:t>(1)</w:t>
      </w:r>
      <w:r w:rsidR="008C77D1" w:rsidRPr="008C77D1">
        <w:rPr>
          <w:lang w:val="en-GB"/>
        </w:rPr>
        <w:t>.</w:t>
      </w:r>
    </w:p>
    <w:tbl>
      <w:tblPr>
        <w:tblStyle w:val="afffb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4112"/>
      </w:tblGrid>
      <w:tr w:rsidR="004815C8" w14:paraId="48CACB98" w14:textId="77777777" w:rsidTr="009570BA">
        <w:tc>
          <w:tcPr>
            <w:tcW w:w="4185" w:type="dxa"/>
          </w:tcPr>
          <w:p w14:paraId="33C86BC8" w14:textId="6F53EC0C" w:rsidR="004815C8" w:rsidRPr="004815C8" w:rsidRDefault="003269CB" w:rsidP="00D92EBD">
            <w:pPr>
              <w:pStyle w:val="CETBodytext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  <w:lang w:val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GB"/>
                      </w:rPr>
                      <m:t>C4s</m:t>
                    </m:r>
                  </m:sub>
                </m:sSub>
                <m:r>
                  <w:rPr>
                    <w:rFonts w:ascii="Cambria Math" w:hAnsi="Cambria Math"/>
                    <w:vertAlign w:val="subscript"/>
                    <w:lang w:val="en-GB"/>
                  </w:rPr>
                  <m:t>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vertAlign w:val="subscript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vertAlign w:val="subscript"/>
                            <w:lang w:val="en-GB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  <w:lang w:val="en-GB"/>
                          </w:rPr>
                          <m:t>C4s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vertAlign w:val="subscript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vertAlign w:val="subscript"/>
                            <w:lang w:val="en-GB"/>
                          </w:rPr>
                          <m:t>TOP3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  <w:lang w:val="en-GB"/>
                          </w:rPr>
                          <m:t>C4s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12" w:type="dxa"/>
          </w:tcPr>
          <w:p w14:paraId="2ADBAEB9" w14:textId="1A6571D8" w:rsidR="004815C8" w:rsidRPr="004815C8" w:rsidRDefault="004815C8" w:rsidP="004815C8">
            <w:pPr>
              <w:pStyle w:val="CETBodytext"/>
              <w:jc w:val="right"/>
              <w:rPr>
                <w:rFonts w:eastAsia="新細明體"/>
                <w:lang w:val="en-GB" w:eastAsia="zh-TW"/>
              </w:rPr>
            </w:pPr>
            <w:r>
              <w:rPr>
                <w:rFonts w:eastAsia="新細明體" w:hint="eastAsia"/>
                <w:lang w:val="en-GB" w:eastAsia="zh-TW"/>
              </w:rPr>
              <w:t>(</w:t>
            </w:r>
            <w:r>
              <w:rPr>
                <w:rFonts w:eastAsia="新細明體"/>
                <w:lang w:val="en-GB" w:eastAsia="zh-TW"/>
              </w:rPr>
              <w:t>2)</w:t>
            </w:r>
          </w:p>
        </w:tc>
      </w:tr>
    </w:tbl>
    <w:p w14:paraId="09EF1326" w14:textId="2A8CBF07" w:rsidR="009B76D7" w:rsidRDefault="004815C8" w:rsidP="00D92EBD">
      <w:pPr>
        <w:pStyle w:val="CETBodytext"/>
        <w:ind w:left="480"/>
        <w:rPr>
          <w:lang w:val="en-GB"/>
        </w:rPr>
      </w:pPr>
      <w:r w:rsidRPr="004815C8">
        <w:rPr>
          <w:lang w:val="en-GB"/>
        </w:rPr>
        <w:t>where,</w:t>
      </w:r>
      <m:oMath>
        <m:r>
          <w:rPr>
            <w:rFonts w:ascii="Cambria Math" w:hAnsi="Cambria Math"/>
            <w:vertAlign w:val="subscript"/>
            <w:lang w:val="en-GB"/>
          </w:rPr>
          <m:t xml:space="preserve"> </m:t>
        </m:r>
        <w:bookmarkStart w:id="15" w:name="_Hlk181697096"/>
        <m:sSub>
          <m:sSubPr>
            <m:ctrlPr>
              <w:rPr>
                <w:rFonts w:ascii="Cambria Math" w:hAnsi="Cambria Math"/>
                <w:i/>
                <w:vertAlign w:val="subscript"/>
                <w:lang w:val="en-GB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  <w:lang w:val="en-GB"/>
              </w:rPr>
              <m:t>C4s</m:t>
            </m:r>
          </m:sub>
        </m:sSub>
      </m:oMath>
      <w:bookmarkEnd w:id="15"/>
      <w:r w:rsidRPr="004815C8">
        <w:rPr>
          <w:rFonts w:hint="eastAsia"/>
          <w:vertAlign w:val="subscript"/>
          <w:lang w:val="en-GB"/>
        </w:rPr>
        <w:t xml:space="preserve"> </w:t>
      </w:r>
      <w:r w:rsidR="009570BA">
        <w:rPr>
          <w:lang w:val="en-GB"/>
        </w:rPr>
        <w:t>can be approximated</w:t>
      </w:r>
      <w:r w:rsidRPr="004815C8">
        <w:rPr>
          <w:lang w:val="en-GB"/>
        </w:rPr>
        <w:t xml:space="preserve"> with </w:t>
      </w:r>
      <w:r w:rsidR="009570BA">
        <w:rPr>
          <w:lang w:val="en-GB"/>
        </w:rPr>
        <w:t xml:space="preserve">the </w:t>
      </w:r>
      <w:r w:rsidRPr="004815C8">
        <w:rPr>
          <w:lang w:val="en-GB"/>
        </w:rPr>
        <w:t xml:space="preserve">total mass flowrate of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  <m:r>
          <w:rPr>
            <w:rFonts w:ascii="Cambria Math" w:hAnsi="Cambria Math"/>
            <w:lang w:val="en-GB"/>
          </w:rPr>
          <m:t>'s</m:t>
        </m:r>
      </m:oMath>
      <w:r w:rsidRPr="004815C8">
        <w:rPr>
          <w:lang w:val="en-GB"/>
        </w:rPr>
        <w:t xml:space="preserve"> in the first feed</w:t>
      </w:r>
      <w:r w:rsidR="002770D0">
        <w:rPr>
          <w:lang w:val="en-GB"/>
        </w:rPr>
        <w:t xml:space="preserve"> </w:t>
      </w:r>
      <w:r w:rsidR="00116653">
        <w:rPr>
          <w:lang w:val="en-GB"/>
        </w:rPr>
        <w:t xml:space="preserve">stream </w:t>
      </w:r>
      <w:r w:rsidRPr="004815C8">
        <w:rPr>
          <w:lang w:val="en-GB"/>
        </w:rPr>
        <w:t>and the total mass flowrate of</w:t>
      </w:r>
      <w:r w:rsidR="00116653">
        <w:rPr>
          <w:lang w:val="en-GB"/>
        </w:rPr>
        <w:t xml:space="preserve"> stream</w:t>
      </w:r>
      <w:r w:rsidRPr="004815C8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TOP3</m:t>
        </m:r>
      </m:oMath>
      <w:r w:rsidRPr="004815C8">
        <w:rPr>
          <w:lang w:val="en-GB"/>
        </w:rPr>
        <w:t xml:space="preserve">. </w:t>
      </w:r>
      <w:r w:rsidR="002770D0">
        <w:rPr>
          <w:lang w:val="en-GB"/>
        </w:rPr>
        <w:t>On the basis of</w:t>
      </w:r>
      <w:r w:rsidRPr="004815C8">
        <w:rPr>
          <w:lang w:val="en-GB"/>
        </w:rPr>
        <w:t xml:space="preserve"> the corresponding data listed in Table </w:t>
      </w:r>
      <w:r w:rsidR="002770D0">
        <w:rPr>
          <w:lang w:val="en-GB"/>
        </w:rPr>
        <w:t>1</w:t>
      </w:r>
      <w:r w:rsidRPr="004815C8">
        <w:rPr>
          <w:lang w:val="en-GB"/>
        </w:rPr>
        <w:t>, the value</w:t>
      </w:r>
      <w:r w:rsidR="002770D0">
        <w:rPr>
          <w:lang w:val="en-GB"/>
        </w:rPr>
        <w:t xml:space="preserve"> of</w:t>
      </w:r>
      <w:r w:rsidRPr="004815C8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  <w:lang w:val="en-GB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  <w:lang w:val="en-GB"/>
              </w:rPr>
              <m:t>C4s</m:t>
            </m:r>
          </m:sub>
        </m:sSub>
      </m:oMath>
      <w:r w:rsidRPr="004815C8">
        <w:rPr>
          <w:rFonts w:hint="eastAsia"/>
          <w:vertAlign w:val="subscript"/>
          <w:lang w:val="en-GB"/>
        </w:rPr>
        <w:t xml:space="preserve"> </w:t>
      </w:r>
      <w:r w:rsidRPr="004815C8">
        <w:rPr>
          <w:lang w:val="en-GB"/>
        </w:rPr>
        <w:t>is approximately 0.47.</w:t>
      </w:r>
    </w:p>
    <w:p w14:paraId="5222F456" w14:textId="6EEAC140" w:rsidR="004815C8" w:rsidRDefault="00116653" w:rsidP="004815C8">
      <w:pPr>
        <w:pStyle w:val="CETBodytext"/>
        <w:numPr>
          <w:ilvl w:val="0"/>
          <w:numId w:val="26"/>
        </w:numPr>
        <w:rPr>
          <w:lang w:val="en-GB"/>
        </w:rPr>
      </w:pPr>
      <w:r w:rsidRPr="00116653">
        <w:rPr>
          <w:lang w:val="en-GB"/>
        </w:rPr>
        <w:t>Stream</w:t>
      </w:r>
      <w:r>
        <w:rPr>
          <w:i/>
          <w:lang w:val="en-GB"/>
        </w:rPr>
        <w:t xml:space="preserve"> </w:t>
      </w:r>
      <w:r w:rsidR="004815C8" w:rsidRPr="004815C8">
        <w:rPr>
          <w:i/>
          <w:lang w:val="en-GB"/>
        </w:rPr>
        <w:t>BOT</w:t>
      </w:r>
      <w:r w:rsidR="004815C8" w:rsidRPr="004815C8">
        <w:rPr>
          <w:lang w:val="en-GB"/>
        </w:rPr>
        <w:t xml:space="preserve"> </w:t>
      </w:r>
      <w:r w:rsidR="006D26AF">
        <w:rPr>
          <w:lang w:val="en-GB"/>
        </w:rPr>
        <w:t xml:space="preserve">should be sent only </w:t>
      </w:r>
      <w:r w:rsidR="004815C8" w:rsidRPr="004815C8">
        <w:rPr>
          <w:lang w:val="en-GB"/>
        </w:rPr>
        <w:t xml:space="preserve">to </w:t>
      </w:r>
      <w:r w:rsidR="004815C8" w:rsidRPr="004815C8">
        <w:rPr>
          <w:rFonts w:hint="eastAsia"/>
          <w:lang w:val="en-GB"/>
        </w:rPr>
        <w:t>m</w:t>
      </w:r>
      <w:r w:rsidR="004815C8" w:rsidRPr="004815C8">
        <w:rPr>
          <w:lang w:val="en-GB"/>
        </w:rPr>
        <w:t xml:space="preserve">ixer MIX2 </w:t>
      </w:r>
      <w:r w:rsidR="00B44083">
        <w:rPr>
          <w:lang w:val="en-GB"/>
        </w:rPr>
        <w:t xml:space="preserve">before column T-4501 </w:t>
      </w:r>
      <w:r w:rsidR="004815C8" w:rsidRPr="004815C8">
        <w:rPr>
          <w:lang w:val="en-GB"/>
        </w:rPr>
        <w:t xml:space="preserve">since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5</m:t>
            </m:r>
          </m:sub>
        </m:sSub>
        <m:r>
          <w:rPr>
            <w:rFonts w:ascii="Cambria Math" w:hAnsi="Cambria Math"/>
            <w:lang w:val="en-GB"/>
          </w:rPr>
          <m:t>'s</m:t>
        </m:r>
      </m:oMath>
      <w:r w:rsidR="004815C8" w:rsidRPr="004815C8">
        <w:rPr>
          <w:lang w:val="en-GB"/>
        </w:rPr>
        <w:t xml:space="preserve"> </w:t>
      </w:r>
      <w:r w:rsidR="006D26AF">
        <w:rPr>
          <w:lang w:val="en-GB"/>
        </w:rPr>
        <w:t>and</w:t>
      </w:r>
      <w:r w:rsidR="004815C8" w:rsidRPr="004815C8">
        <w:rPr>
          <w:lang w:val="en-GB"/>
        </w:rPr>
        <w:t xml:space="preserve"> the heavier hydrocarbons are present in stream 2088</w:t>
      </w:r>
      <w:r w:rsidR="00206CDE">
        <w:rPr>
          <w:lang w:val="en-GB"/>
        </w:rPr>
        <w:t xml:space="preserve"> but</w:t>
      </w:r>
      <w:r w:rsidR="004815C8" w:rsidRPr="004815C8">
        <w:rPr>
          <w:lang w:val="en-GB"/>
        </w:rPr>
        <w:t xml:space="preserve"> none in stream 4001</w:t>
      </w:r>
      <w:r w:rsidR="00206CDE">
        <w:rPr>
          <w:lang w:val="en-GB"/>
        </w:rPr>
        <w:t xml:space="preserve"> (see</w:t>
      </w:r>
      <w:r w:rsidR="004815C8" w:rsidRPr="004815C8">
        <w:rPr>
          <w:lang w:val="en-GB"/>
        </w:rPr>
        <w:t xml:space="preserve"> Table </w:t>
      </w:r>
      <w:r w:rsidR="006D26AF">
        <w:rPr>
          <w:lang w:val="en-GB"/>
        </w:rPr>
        <w:t>1</w:t>
      </w:r>
      <w:r w:rsidR="00206CDE">
        <w:rPr>
          <w:lang w:val="en-GB"/>
        </w:rPr>
        <w:t>)</w:t>
      </w:r>
      <w:r w:rsidR="004815C8" w:rsidRPr="004815C8">
        <w:rPr>
          <w:lang w:val="en-GB"/>
        </w:rPr>
        <w:t>.</w:t>
      </w:r>
    </w:p>
    <w:p w14:paraId="5DC533EF" w14:textId="5804DC0B" w:rsidR="009B76D7" w:rsidRDefault="004815C8" w:rsidP="009B76D7">
      <w:pPr>
        <w:pStyle w:val="CETBodytext"/>
        <w:rPr>
          <w:lang w:val="en-GB"/>
        </w:rPr>
      </w:pPr>
      <w:r w:rsidRPr="004815C8">
        <w:rPr>
          <w:lang w:val="en-GB"/>
        </w:rPr>
        <w:t xml:space="preserve">The process flow diagram for tail-chase operation (shown in Figure </w:t>
      </w:r>
      <w:r w:rsidR="00B44083">
        <w:rPr>
          <w:lang w:val="en-GB"/>
        </w:rPr>
        <w:t>2</w:t>
      </w:r>
      <w:r w:rsidRPr="004815C8">
        <w:rPr>
          <w:lang w:val="en-GB"/>
        </w:rPr>
        <w:t>) can be established on the basis of the above design analysis.</w:t>
      </w:r>
    </w:p>
    <w:p w14:paraId="21C828D4" w14:textId="3E17657B" w:rsidR="004815C8" w:rsidRDefault="007A3FC7" w:rsidP="009B76D7">
      <w:pPr>
        <w:pStyle w:val="CETBodytext"/>
        <w:rPr>
          <w:lang w:val="en-GB"/>
        </w:rPr>
      </w:pPr>
      <w:r w:rsidRPr="00DD75B0">
        <w:rPr>
          <w:i/>
          <w:u w:val="single"/>
          <w:lang w:val="en-GB"/>
        </w:rPr>
        <w:t>Step 2</w:t>
      </w:r>
      <w:r w:rsidRPr="007A3FC7">
        <w:rPr>
          <w:i/>
          <w:lang w:val="en-GB"/>
        </w:rPr>
        <w:t xml:space="preserve">: identification of necessary </w:t>
      </w:r>
      <w:r w:rsidR="00E97EA3">
        <w:rPr>
          <w:i/>
          <w:lang w:val="en-GB"/>
        </w:rPr>
        <w:t>operator</w:t>
      </w:r>
      <w:r w:rsidRPr="007A3FC7">
        <w:rPr>
          <w:i/>
          <w:lang w:val="en-GB"/>
        </w:rPr>
        <w:t xml:space="preserve"> tasks.</w:t>
      </w:r>
      <w:r w:rsidRPr="007A3FC7">
        <w:rPr>
          <w:lang w:val="en-GB"/>
        </w:rPr>
        <w:t xml:space="preserve"> </w:t>
      </w:r>
      <w:r w:rsidR="00B51440">
        <w:rPr>
          <w:lang w:val="en-GB"/>
        </w:rPr>
        <w:t>F</w:t>
      </w:r>
      <w:r w:rsidRPr="00B51440">
        <w:rPr>
          <w:lang w:val="en-GB"/>
        </w:rPr>
        <w:t>ailure occurrence and repair completion are assumed to</w:t>
      </w:r>
      <w:r w:rsidR="00B51440">
        <w:rPr>
          <w:lang w:val="en-GB"/>
        </w:rPr>
        <w:t xml:space="preserve"> be observable events</w:t>
      </w:r>
      <w:r w:rsidRPr="00B51440">
        <w:rPr>
          <w:lang w:val="en-GB"/>
        </w:rPr>
        <w:t xml:space="preserve"> in this study</w:t>
      </w:r>
      <w:r w:rsidRPr="00206CDE">
        <w:rPr>
          <w:color w:val="FF0000"/>
          <w:lang w:val="en-GB"/>
        </w:rPr>
        <w:t>.</w:t>
      </w:r>
      <w:r w:rsidRPr="007A3FC7">
        <w:rPr>
          <w:lang w:val="en-GB"/>
        </w:rPr>
        <w:t xml:space="preserve"> The former </w:t>
      </w:r>
      <w:r w:rsidR="00B44083">
        <w:rPr>
          <w:lang w:val="en-GB"/>
        </w:rPr>
        <w:t>enables</w:t>
      </w:r>
      <w:r w:rsidR="00B51440">
        <w:rPr>
          <w:lang w:val="en-GB"/>
        </w:rPr>
        <w:t xml:space="preserve"> </w:t>
      </w:r>
      <w:r w:rsidR="00C46AA6">
        <w:rPr>
          <w:lang w:val="en-GB"/>
        </w:rPr>
        <w:t xml:space="preserve">a set of </w:t>
      </w:r>
      <w:r w:rsidR="00E97EA3">
        <w:rPr>
          <w:lang w:val="en-GB"/>
        </w:rPr>
        <w:t xml:space="preserve">operator </w:t>
      </w:r>
      <w:r w:rsidR="00B51440">
        <w:rPr>
          <w:lang w:val="en-GB"/>
        </w:rPr>
        <w:t>actions to build</w:t>
      </w:r>
      <w:r w:rsidRPr="007A3FC7">
        <w:rPr>
          <w:lang w:val="en-GB"/>
        </w:rPr>
        <w:t xml:space="preserve"> the recycle structure</w:t>
      </w:r>
      <w:r w:rsidR="00B51440">
        <w:rPr>
          <w:lang w:val="en-GB"/>
        </w:rPr>
        <w:t>s</w:t>
      </w:r>
      <w:r w:rsidRPr="007A3FC7">
        <w:rPr>
          <w:lang w:val="en-GB"/>
        </w:rPr>
        <w:t xml:space="preserve"> </w:t>
      </w:r>
      <w:r w:rsidR="00B51440">
        <w:rPr>
          <w:lang w:val="en-GB"/>
        </w:rPr>
        <w:t>in</w:t>
      </w:r>
      <w:r w:rsidRPr="007A3FC7">
        <w:rPr>
          <w:lang w:val="en-GB"/>
        </w:rPr>
        <w:t xml:space="preserve"> Figure </w:t>
      </w:r>
      <w:r w:rsidR="00B51440">
        <w:rPr>
          <w:lang w:val="en-GB"/>
        </w:rPr>
        <w:t>2</w:t>
      </w:r>
      <w:r w:rsidRPr="007A3FC7">
        <w:rPr>
          <w:lang w:val="en-GB"/>
        </w:rPr>
        <w:t xml:space="preserve"> and then </w:t>
      </w:r>
      <w:r w:rsidR="00E97EA3">
        <w:rPr>
          <w:lang w:val="en-GB"/>
        </w:rPr>
        <w:t>to carry out</w:t>
      </w:r>
      <w:r w:rsidRPr="007A3FC7">
        <w:rPr>
          <w:lang w:val="en-GB"/>
        </w:rPr>
        <w:t xml:space="preserve"> the </w:t>
      </w:r>
      <w:r w:rsidR="00C46AA6">
        <w:rPr>
          <w:lang w:val="en-GB"/>
        </w:rPr>
        <w:t xml:space="preserve">subsequent </w:t>
      </w:r>
      <w:r w:rsidRPr="007A3FC7">
        <w:rPr>
          <w:lang w:val="en-GB"/>
        </w:rPr>
        <w:t>tail-chase operatio</w:t>
      </w:r>
      <w:r w:rsidR="00E97EA3">
        <w:rPr>
          <w:lang w:val="en-GB"/>
        </w:rPr>
        <w:t>n</w:t>
      </w:r>
      <w:r w:rsidRPr="007A3FC7">
        <w:rPr>
          <w:lang w:val="en-GB"/>
        </w:rPr>
        <w:t xml:space="preserve">, while the latter initiates </w:t>
      </w:r>
      <w:r w:rsidR="00C46AA6">
        <w:rPr>
          <w:lang w:val="en-GB"/>
        </w:rPr>
        <w:t xml:space="preserve">another set of </w:t>
      </w:r>
      <w:r w:rsidRPr="007A3FC7">
        <w:rPr>
          <w:lang w:val="en-GB"/>
        </w:rPr>
        <w:t xml:space="preserve">actions </w:t>
      </w:r>
      <w:r w:rsidR="00C46AA6">
        <w:rPr>
          <w:lang w:val="en-GB"/>
        </w:rPr>
        <w:t>to</w:t>
      </w:r>
      <w:r w:rsidRPr="007A3FC7">
        <w:rPr>
          <w:lang w:val="en-GB"/>
        </w:rPr>
        <w:t xml:space="preserve"> </w:t>
      </w:r>
      <w:r w:rsidR="00C46AA6">
        <w:rPr>
          <w:lang w:val="en-GB"/>
        </w:rPr>
        <w:t xml:space="preserve">disconnect the </w:t>
      </w:r>
      <w:r w:rsidR="00722DBF">
        <w:rPr>
          <w:lang w:val="en-GB"/>
        </w:rPr>
        <w:t xml:space="preserve">above </w:t>
      </w:r>
      <w:r w:rsidR="00C46AA6">
        <w:rPr>
          <w:lang w:val="en-GB"/>
        </w:rPr>
        <w:t>loops and then</w:t>
      </w:r>
      <w:r w:rsidRPr="007A3FC7">
        <w:rPr>
          <w:lang w:val="en-GB"/>
        </w:rPr>
        <w:t xml:space="preserve"> drive the system back to the </w:t>
      </w:r>
      <w:r w:rsidR="00C46AA6">
        <w:rPr>
          <w:lang w:val="en-GB"/>
        </w:rPr>
        <w:t>original</w:t>
      </w:r>
      <w:r w:rsidRPr="007A3FC7">
        <w:rPr>
          <w:lang w:val="en-GB"/>
        </w:rPr>
        <w:t xml:space="preserve"> steady state. To facilitate quick return from tail-chase to normal state after </w:t>
      </w:r>
      <w:r w:rsidR="00214D89">
        <w:rPr>
          <w:lang w:val="en-GB"/>
        </w:rPr>
        <w:t>fix</w:t>
      </w:r>
      <w:r w:rsidR="00775355">
        <w:rPr>
          <w:lang w:val="en-GB"/>
        </w:rPr>
        <w:t xml:space="preserve">ing </w:t>
      </w:r>
      <w:r w:rsidRPr="007A3FC7">
        <w:rPr>
          <w:lang w:val="en-GB"/>
        </w:rPr>
        <w:t xml:space="preserve">the </w:t>
      </w:r>
      <w:r w:rsidR="00C46AA6">
        <w:rPr>
          <w:lang w:val="en-GB"/>
        </w:rPr>
        <w:t>front-end</w:t>
      </w:r>
      <w:r w:rsidRPr="007A3FC7">
        <w:rPr>
          <w:lang w:val="en-GB"/>
        </w:rPr>
        <w:t xml:space="preserve"> failure, it is </w:t>
      </w:r>
      <w:r w:rsidR="00853450">
        <w:rPr>
          <w:lang w:val="en-GB"/>
        </w:rPr>
        <w:t>desirable</w:t>
      </w:r>
      <w:r w:rsidRPr="007A3FC7">
        <w:rPr>
          <w:lang w:val="en-GB"/>
        </w:rPr>
        <w:t xml:space="preserve"> to </w:t>
      </w:r>
      <w:r w:rsidR="00853450">
        <w:rPr>
          <w:lang w:val="en-GB"/>
        </w:rPr>
        <w:t>manipulate</w:t>
      </w:r>
      <w:r w:rsidRPr="007A3FC7">
        <w:rPr>
          <w:lang w:val="en-GB"/>
        </w:rPr>
        <w:t xml:space="preserve"> the </w:t>
      </w:r>
      <w:r w:rsidR="00853450">
        <w:rPr>
          <w:lang w:val="en-GB"/>
        </w:rPr>
        <w:t>back end</w:t>
      </w:r>
      <w:r w:rsidRPr="007A3FC7">
        <w:rPr>
          <w:lang w:val="en-GB"/>
        </w:rPr>
        <w:t xml:space="preserve"> during the tail-chase period </w:t>
      </w:r>
      <w:r w:rsidR="00853450">
        <w:rPr>
          <w:lang w:val="en-GB"/>
        </w:rPr>
        <w:t>to ensure that</w:t>
      </w:r>
      <w:r w:rsidR="00F25D00">
        <w:rPr>
          <w:lang w:val="en-GB"/>
        </w:rPr>
        <w:t xml:space="preserve"> the distillation train</w:t>
      </w:r>
      <w:r w:rsidR="00214D89">
        <w:rPr>
          <w:lang w:val="en-GB"/>
        </w:rPr>
        <w:t xml:space="preserve"> embedded in the tail-chase structure</w:t>
      </w:r>
      <w:r w:rsidR="00F25D00">
        <w:rPr>
          <w:lang w:val="en-GB"/>
        </w:rPr>
        <w:t xml:space="preserve"> closely mimic</w:t>
      </w:r>
      <w:r w:rsidR="00722DBF">
        <w:rPr>
          <w:lang w:val="en-GB"/>
        </w:rPr>
        <w:t>s</w:t>
      </w:r>
      <w:r w:rsidRPr="007A3FC7">
        <w:rPr>
          <w:lang w:val="en-GB"/>
        </w:rPr>
        <w:t xml:space="preserve"> the</w:t>
      </w:r>
      <w:r w:rsidR="00F25D00">
        <w:rPr>
          <w:lang w:val="en-GB"/>
        </w:rPr>
        <w:t xml:space="preserve"> normal</w:t>
      </w:r>
      <w:r w:rsidRPr="007A3FC7">
        <w:rPr>
          <w:lang w:val="en-GB"/>
        </w:rPr>
        <w:t xml:space="preserve"> </w:t>
      </w:r>
      <w:r w:rsidR="00171AD0">
        <w:rPr>
          <w:lang w:val="en-GB"/>
        </w:rPr>
        <w:t>conditions</w:t>
      </w:r>
      <w:r w:rsidRPr="007A3FC7">
        <w:rPr>
          <w:lang w:val="en-GB"/>
        </w:rPr>
        <w:t xml:space="preserve"> </w:t>
      </w:r>
      <w:r w:rsidR="00722DBF">
        <w:rPr>
          <w:lang w:val="en-GB"/>
        </w:rPr>
        <w:t>listed in</w:t>
      </w:r>
      <w:r w:rsidR="00F25D00">
        <w:rPr>
          <w:lang w:val="en-GB"/>
        </w:rPr>
        <w:t xml:space="preserve"> </w:t>
      </w:r>
      <w:r w:rsidRPr="007A3FC7">
        <w:rPr>
          <w:lang w:val="en-GB"/>
        </w:rPr>
        <w:t xml:space="preserve">Table </w:t>
      </w:r>
      <w:r w:rsidR="00853450">
        <w:rPr>
          <w:lang w:val="en-GB"/>
        </w:rPr>
        <w:t>1</w:t>
      </w:r>
      <w:r w:rsidRPr="007A3FC7">
        <w:rPr>
          <w:lang w:val="en-GB"/>
        </w:rPr>
        <w:t xml:space="preserve"> and Figure </w:t>
      </w:r>
      <w:r w:rsidR="00853450">
        <w:rPr>
          <w:lang w:val="en-GB"/>
        </w:rPr>
        <w:t>1</w:t>
      </w:r>
      <w:r w:rsidRPr="007A3FC7">
        <w:rPr>
          <w:lang w:val="en-GB"/>
        </w:rPr>
        <w:t xml:space="preserve">. To achieve </w:t>
      </w:r>
      <w:r w:rsidR="00F25D00">
        <w:rPr>
          <w:lang w:val="en-GB"/>
        </w:rPr>
        <w:t>this</w:t>
      </w:r>
      <w:r w:rsidRPr="007A3FC7">
        <w:rPr>
          <w:lang w:val="en-GB"/>
        </w:rPr>
        <w:t xml:space="preserve"> goal, it </w:t>
      </w:r>
      <w:r w:rsidR="003126D2">
        <w:rPr>
          <w:lang w:val="en-GB"/>
        </w:rPr>
        <w:t>may be</w:t>
      </w:r>
      <w:r w:rsidR="00F25D00">
        <w:rPr>
          <w:lang w:val="en-GB"/>
        </w:rPr>
        <w:t xml:space="preserve"> </w:t>
      </w:r>
      <w:r w:rsidR="003126D2">
        <w:rPr>
          <w:lang w:val="en-GB"/>
        </w:rPr>
        <w:t>necessary</w:t>
      </w:r>
      <w:r w:rsidRPr="007A3FC7">
        <w:rPr>
          <w:lang w:val="en-GB"/>
        </w:rPr>
        <w:t xml:space="preserve"> to </w:t>
      </w:r>
      <w:r w:rsidR="003126D2">
        <w:rPr>
          <w:lang w:val="en-GB"/>
        </w:rPr>
        <w:lastRenderedPageBreak/>
        <w:t xml:space="preserve">simultaneously </w:t>
      </w:r>
      <w:r w:rsidRPr="007A3FC7">
        <w:rPr>
          <w:lang w:val="en-GB"/>
        </w:rPr>
        <w:t xml:space="preserve">adjust </w:t>
      </w:r>
      <w:r w:rsidR="003126D2">
        <w:rPr>
          <w:lang w:val="en-GB"/>
        </w:rPr>
        <w:t>all heating</w:t>
      </w:r>
      <w:r w:rsidRPr="007A3FC7">
        <w:rPr>
          <w:lang w:val="en-GB"/>
        </w:rPr>
        <w:t xml:space="preserve"> and co</w:t>
      </w:r>
      <w:r w:rsidR="003126D2">
        <w:rPr>
          <w:lang w:val="en-GB"/>
        </w:rPr>
        <w:t>oling</w:t>
      </w:r>
      <w:r w:rsidRPr="007A3FC7">
        <w:rPr>
          <w:lang w:val="en-GB"/>
        </w:rPr>
        <w:t xml:space="preserve"> duties in the tail-chase </w:t>
      </w:r>
      <w:r w:rsidR="00116653">
        <w:rPr>
          <w:lang w:val="en-GB"/>
        </w:rPr>
        <w:t>system</w:t>
      </w:r>
      <w:r w:rsidRPr="007A3FC7">
        <w:rPr>
          <w:lang w:val="en-GB"/>
        </w:rPr>
        <w:t xml:space="preserve"> </w:t>
      </w:r>
      <w:r w:rsidR="00214D89">
        <w:rPr>
          <w:lang w:val="en-GB"/>
        </w:rPr>
        <w:t>(see</w:t>
      </w:r>
      <w:r w:rsidRPr="007A3FC7">
        <w:rPr>
          <w:lang w:val="en-GB"/>
        </w:rPr>
        <w:t xml:space="preserve"> Figure </w:t>
      </w:r>
      <w:r w:rsidR="003126D2">
        <w:rPr>
          <w:lang w:val="en-GB"/>
        </w:rPr>
        <w:t>2</w:t>
      </w:r>
      <w:r w:rsidR="00214D89">
        <w:rPr>
          <w:lang w:val="en-GB"/>
        </w:rPr>
        <w:t>)</w:t>
      </w:r>
      <w:r w:rsidRPr="007A3FC7">
        <w:rPr>
          <w:lang w:val="en-GB"/>
        </w:rPr>
        <w:t xml:space="preserve"> </w:t>
      </w:r>
      <w:r w:rsidR="003126D2">
        <w:rPr>
          <w:lang w:val="en-GB"/>
        </w:rPr>
        <w:t>for the purpose of</w:t>
      </w:r>
      <w:r w:rsidRPr="007A3FC7">
        <w:rPr>
          <w:lang w:val="en-GB"/>
        </w:rPr>
        <w:t xml:space="preserve"> </w:t>
      </w:r>
      <w:r w:rsidR="003126D2">
        <w:rPr>
          <w:lang w:val="en-GB"/>
        </w:rPr>
        <w:t xml:space="preserve">creating </w:t>
      </w:r>
      <w:r w:rsidRPr="007A3FC7">
        <w:rPr>
          <w:lang w:val="en-GB"/>
        </w:rPr>
        <w:t>the desired pressure drops between the consecutive columns.</w:t>
      </w:r>
    </w:p>
    <w:p w14:paraId="2645EBFF" w14:textId="6154A96B" w:rsidR="007A3FC7" w:rsidRDefault="007A3FC7" w:rsidP="009B76D7">
      <w:pPr>
        <w:pStyle w:val="CETBodytext"/>
        <w:rPr>
          <w:lang w:val="en-GB"/>
        </w:rPr>
      </w:pPr>
      <w:r w:rsidRPr="007A3FC7">
        <w:rPr>
          <w:i/>
          <w:u w:val="single"/>
          <w:lang w:val="en-GB"/>
        </w:rPr>
        <w:t>Step 3</w:t>
      </w:r>
      <w:r w:rsidRPr="007A3FC7">
        <w:rPr>
          <w:i/>
          <w:lang w:val="en-GB"/>
        </w:rPr>
        <w:t>: synthesis of detailed steps.</w:t>
      </w:r>
      <w:r w:rsidRPr="007A3FC7">
        <w:rPr>
          <w:lang w:val="en-GB"/>
        </w:rPr>
        <w:t xml:space="preserve"> As mentioned </w:t>
      </w:r>
      <w:r w:rsidR="00964277">
        <w:rPr>
          <w:lang w:val="en-GB"/>
        </w:rPr>
        <w:t>previously</w:t>
      </w:r>
      <w:r w:rsidRPr="007A3FC7">
        <w:rPr>
          <w:lang w:val="en-GB"/>
        </w:rPr>
        <w:t xml:space="preserve">, </w:t>
      </w:r>
      <w:r w:rsidR="00964277">
        <w:rPr>
          <w:lang w:val="en-GB"/>
        </w:rPr>
        <w:t>the proposed heuristic approach</w:t>
      </w:r>
      <w:r w:rsidRPr="007A3FC7">
        <w:rPr>
          <w:lang w:val="en-GB"/>
        </w:rPr>
        <w:t xml:space="preserve"> is</w:t>
      </w:r>
      <w:r w:rsidR="00964277">
        <w:rPr>
          <w:lang w:val="en-GB"/>
        </w:rPr>
        <w:t xml:space="preserve"> adopted</w:t>
      </w:r>
      <w:r w:rsidRPr="007A3FC7">
        <w:rPr>
          <w:lang w:val="en-GB"/>
        </w:rPr>
        <w:t xml:space="preserve"> to identify specific </w:t>
      </w:r>
      <w:r w:rsidR="00214D89">
        <w:rPr>
          <w:lang w:val="en-GB"/>
        </w:rPr>
        <w:t>step</w:t>
      </w:r>
      <w:r w:rsidRPr="007A3FC7">
        <w:rPr>
          <w:lang w:val="en-GB"/>
        </w:rPr>
        <w:t xml:space="preserve">s in </w:t>
      </w:r>
      <w:r w:rsidR="00116653">
        <w:rPr>
          <w:lang w:val="en-GB"/>
        </w:rPr>
        <w:t xml:space="preserve">the </w:t>
      </w:r>
      <w:r w:rsidRPr="007A3FC7">
        <w:rPr>
          <w:lang w:val="en-GB"/>
        </w:rPr>
        <w:t xml:space="preserve">tail-chase operation to </w:t>
      </w:r>
      <w:r w:rsidR="00964277">
        <w:rPr>
          <w:lang w:val="en-GB"/>
        </w:rPr>
        <w:t>significantly reduce</w:t>
      </w:r>
      <w:r w:rsidRPr="007A3FC7">
        <w:rPr>
          <w:lang w:val="en-GB"/>
        </w:rPr>
        <w:t xml:space="preserve"> </w:t>
      </w:r>
      <w:r w:rsidR="00964277">
        <w:rPr>
          <w:lang w:val="en-GB"/>
        </w:rPr>
        <w:t xml:space="preserve">GHG emission </w:t>
      </w:r>
      <w:r w:rsidR="00116653">
        <w:rPr>
          <w:lang w:val="en-GB"/>
        </w:rPr>
        <w:t>resulting from</w:t>
      </w:r>
      <w:r w:rsidRPr="007A3FC7">
        <w:rPr>
          <w:lang w:val="en-GB"/>
        </w:rPr>
        <w:t xml:space="preserve"> the front-end failures. One of the best feasible procedures </w:t>
      </w:r>
      <w:r w:rsidR="00964277">
        <w:rPr>
          <w:lang w:val="en-GB"/>
        </w:rPr>
        <w:t>identified</w:t>
      </w:r>
      <w:r w:rsidRPr="007A3FC7">
        <w:rPr>
          <w:lang w:val="en-GB"/>
        </w:rPr>
        <w:t xml:space="preserve"> so far is expressed with a sequential function chart (SFC) and presented in Figure </w:t>
      </w:r>
      <w:r w:rsidR="00964277">
        <w:rPr>
          <w:lang w:val="en-GB"/>
        </w:rPr>
        <w:t>3</w:t>
      </w:r>
      <w:r w:rsidRPr="007A3FC7">
        <w:rPr>
          <w:lang w:val="en-GB"/>
        </w:rPr>
        <w:t>.</w:t>
      </w:r>
      <w:r w:rsidR="00964277">
        <w:rPr>
          <w:lang w:val="en-GB"/>
        </w:rPr>
        <w:t xml:space="preserve"> More detailed description of this SFC can be found elsewhere (</w:t>
      </w:r>
      <w:r w:rsidR="009D1CD2">
        <w:rPr>
          <w:lang w:val="en-GB"/>
        </w:rPr>
        <w:t>Chen, 202</w:t>
      </w:r>
      <w:r w:rsidR="00DF6E98">
        <w:rPr>
          <w:lang w:val="en-GB"/>
        </w:rPr>
        <w:t>4</w:t>
      </w:r>
      <w:r w:rsidR="009D1CD2">
        <w:rPr>
          <w:lang w:val="en-GB"/>
        </w:rPr>
        <w:t>).</w:t>
      </w:r>
    </w:p>
    <w:p w14:paraId="6F6DE520" w14:textId="3B4CD42A" w:rsidR="007A3FC7" w:rsidRPr="007A3FC7" w:rsidRDefault="007A3FC7" w:rsidP="00964277"/>
    <w:p w14:paraId="7C67D77C" w14:textId="3305F2D8" w:rsidR="007A3FC7" w:rsidRDefault="008C1D25" w:rsidP="008C1D25">
      <w:pPr>
        <w:pStyle w:val="CETBodytex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0C69075" wp14:editId="273A5AC7">
            <wp:extent cx="2242157" cy="5625011"/>
            <wp:effectExtent l="381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05935" cy="578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22768" w14:textId="04653300" w:rsidR="00DD75B0" w:rsidRDefault="00DD75B0" w:rsidP="008C1D25">
      <w:pPr>
        <w:pStyle w:val="CETBodytext"/>
        <w:rPr>
          <w:i/>
          <w:lang w:val="en-GB"/>
        </w:rPr>
      </w:pPr>
      <w:r w:rsidRPr="00DD75B0">
        <w:rPr>
          <w:i/>
          <w:lang w:val="en-GB"/>
        </w:rPr>
        <w:t xml:space="preserve">Figure 2: Process flow diagram of </w:t>
      </w:r>
      <w:r>
        <w:rPr>
          <w:i/>
          <w:lang w:val="en-GB"/>
        </w:rPr>
        <w:t>tail-chase operation</w:t>
      </w:r>
    </w:p>
    <w:p w14:paraId="39622F63" w14:textId="77777777" w:rsidR="00964277" w:rsidRPr="00DD75B0" w:rsidRDefault="00964277" w:rsidP="008C1D25">
      <w:pPr>
        <w:pStyle w:val="CETBodytext"/>
        <w:rPr>
          <w:i/>
          <w:lang w:val="en-GB"/>
        </w:rPr>
      </w:pPr>
    </w:p>
    <w:p w14:paraId="74394F49" w14:textId="2B6938C8" w:rsidR="00DD75B0" w:rsidRDefault="00B0184E" w:rsidP="008C1D25">
      <w:pPr>
        <w:pStyle w:val="CETBodytext"/>
        <w:rPr>
          <w:lang w:val="en-GB"/>
        </w:rPr>
      </w:pPr>
      <w:r w:rsidRPr="00BA581A">
        <w:rPr>
          <w:noProof/>
        </w:rPr>
        <w:drawing>
          <wp:inline distT="0" distB="0" distL="0" distR="0" wp14:anchorId="7EB40F11" wp14:editId="7FC7F458">
            <wp:extent cx="5568950" cy="3747293"/>
            <wp:effectExtent l="0" t="0" r="0" b="5715"/>
            <wp:docPr id="1896046531" name="圖片 63" descr="一張含有 黑色, 黑暗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3811BF55-B6F6-9685-DBDA-F99EBA9EC4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46531" name="圖片 63" descr="一張含有 黑色, 黑暗 的圖片&#10;&#10;自動產生的描述">
                      <a:extLst>
                        <a:ext uri="{FF2B5EF4-FFF2-40B4-BE49-F238E27FC236}">
                          <a16:creationId xmlns:a16="http://schemas.microsoft.com/office/drawing/2014/main" id="{3811BF55-B6F6-9685-DBDA-F99EBA9EC4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991" cy="375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AB4C3" w14:textId="77777777" w:rsidR="001C6D78" w:rsidRDefault="001C6D78" w:rsidP="004F6ABE">
      <w:pPr>
        <w:pStyle w:val="CETBodytext"/>
        <w:rPr>
          <w:i/>
          <w:lang w:val="en-GB"/>
        </w:rPr>
      </w:pPr>
      <w:bookmarkStart w:id="16" w:name="_Hlk199088599"/>
    </w:p>
    <w:p w14:paraId="5B06C0A4" w14:textId="5AAFA931" w:rsidR="004F6ABE" w:rsidRPr="00DD75B0" w:rsidRDefault="004F6ABE" w:rsidP="004F6ABE">
      <w:pPr>
        <w:pStyle w:val="CETBodytext"/>
        <w:rPr>
          <w:i/>
          <w:lang w:val="en-GB"/>
        </w:rPr>
      </w:pPr>
      <w:r w:rsidRPr="00DD75B0">
        <w:rPr>
          <w:i/>
          <w:lang w:val="en-GB"/>
        </w:rPr>
        <w:t xml:space="preserve">Figure </w:t>
      </w:r>
      <w:r>
        <w:rPr>
          <w:i/>
          <w:lang w:val="en-GB"/>
        </w:rPr>
        <w:t>3</w:t>
      </w:r>
      <w:r w:rsidRPr="00DD75B0">
        <w:rPr>
          <w:i/>
          <w:lang w:val="en-GB"/>
        </w:rPr>
        <w:t xml:space="preserve">: </w:t>
      </w:r>
      <w:r>
        <w:rPr>
          <w:i/>
          <w:lang w:val="en-GB"/>
        </w:rPr>
        <w:t>Sequential function chart</w:t>
      </w:r>
      <w:r w:rsidRPr="00DD75B0">
        <w:rPr>
          <w:i/>
          <w:lang w:val="en-GB"/>
        </w:rPr>
        <w:t xml:space="preserve"> of </w:t>
      </w:r>
      <w:r>
        <w:rPr>
          <w:i/>
          <w:lang w:val="en-GB"/>
        </w:rPr>
        <w:t>tail-chase operation</w:t>
      </w:r>
    </w:p>
    <w:bookmarkEnd w:id="16"/>
    <w:p w14:paraId="66616B00" w14:textId="7AD4F618" w:rsidR="00B0184E" w:rsidRDefault="00B0184E" w:rsidP="008C1D25">
      <w:pPr>
        <w:pStyle w:val="CETBodytext"/>
        <w:rPr>
          <w:lang w:val="en-GB"/>
        </w:rPr>
      </w:pPr>
    </w:p>
    <w:p w14:paraId="19A1E2E1" w14:textId="6FD6C078" w:rsidR="001C4717" w:rsidRPr="004F6ABE" w:rsidRDefault="001C4717" w:rsidP="008C1D25">
      <w:pPr>
        <w:pStyle w:val="CETBodytext"/>
        <w:rPr>
          <w:lang w:val="en-GB"/>
        </w:rPr>
      </w:pPr>
      <w:r w:rsidRPr="001C4717">
        <w:rPr>
          <w:i/>
          <w:u w:val="single"/>
        </w:rPr>
        <w:t>Step 4</w:t>
      </w:r>
      <w:r w:rsidRPr="001C4717">
        <w:rPr>
          <w:i/>
        </w:rPr>
        <w:t xml:space="preserve">: validation via rigorous simulation. </w:t>
      </w:r>
      <w:r w:rsidRPr="001C4717">
        <w:t xml:space="preserve">The </w:t>
      </w:r>
      <w:r>
        <w:t>operating</w:t>
      </w:r>
      <w:r w:rsidRPr="001C4717">
        <w:t xml:space="preserve"> procedure </w:t>
      </w:r>
      <w:r>
        <w:t xml:space="preserve">in Figure 3 </w:t>
      </w:r>
      <w:r w:rsidR="005631D3">
        <w:t>was</w:t>
      </w:r>
      <w:r w:rsidRPr="001C4717">
        <w:t xml:space="preserve"> validated </w:t>
      </w:r>
      <w:r w:rsidR="002C6AF4">
        <w:t>v</w:t>
      </w:r>
      <w:r w:rsidR="005631D3">
        <w:t>ia</w:t>
      </w:r>
      <w:r w:rsidRPr="001C4717">
        <w:t xml:space="preserve"> </w:t>
      </w:r>
      <w:r w:rsidR="005631D3">
        <w:t>rigorous numerical experiments performed with</w:t>
      </w:r>
      <w:r w:rsidRPr="001C4717">
        <w:t xml:space="preserve"> ASPEN PLUS DYNAMICS</w:t>
      </w:r>
      <w:r w:rsidR="005631D3">
        <w:rPr>
          <w:vertAlign w:val="superscript"/>
        </w:rPr>
        <w:fldChar w:fldCharType="begin"/>
      </w:r>
      <w:r w:rsidR="005631D3">
        <w:rPr>
          <w:rFonts w:eastAsia="新細明體"/>
          <w:vertAlign w:val="superscript"/>
          <w:lang w:eastAsia="zh-TW"/>
        </w:rPr>
        <w:instrText xml:space="preserve"> </w:instrText>
      </w:r>
      <w:r w:rsidR="005631D3">
        <w:rPr>
          <w:rFonts w:eastAsia="新細明體" w:hint="eastAsia"/>
          <w:vertAlign w:val="superscript"/>
          <w:lang w:eastAsia="zh-TW"/>
        </w:rPr>
        <w:instrText>eq \o\ac(</w:instrText>
      </w:r>
      <w:r w:rsidR="005631D3" w:rsidRPr="005631D3">
        <w:rPr>
          <w:rFonts w:eastAsia="新細明體" w:hint="eastAsia"/>
          <w:position w:val="5"/>
          <w:sz w:val="12"/>
          <w:lang w:eastAsia="zh-TW"/>
        </w:rPr>
        <w:instrText>○</w:instrText>
      </w:r>
      <w:r w:rsidR="005631D3" w:rsidRPr="005631D3">
        <w:rPr>
          <w:rFonts w:eastAsia="新細明體" w:hint="eastAsia"/>
          <w:position w:val="5"/>
          <w:sz w:val="12"/>
          <w:lang w:eastAsia="zh-TW"/>
        </w:rPr>
        <w:instrText>,</w:instrText>
      </w:r>
      <w:r w:rsidR="005631D3" w:rsidRPr="005631D3">
        <w:rPr>
          <w:rFonts w:eastAsia="新細明體" w:hint="eastAsia"/>
          <w:position w:val="6"/>
          <w:sz w:val="8"/>
          <w:lang w:eastAsia="zh-TW"/>
        </w:rPr>
        <w:instrText>R</w:instrText>
      </w:r>
      <w:r w:rsidR="005631D3">
        <w:rPr>
          <w:rFonts w:eastAsia="新細明體" w:hint="eastAsia"/>
          <w:vertAlign w:val="superscript"/>
          <w:lang w:eastAsia="zh-TW"/>
        </w:rPr>
        <w:instrText>)</w:instrText>
      </w:r>
      <w:r w:rsidR="005631D3">
        <w:rPr>
          <w:vertAlign w:val="superscript"/>
        </w:rPr>
        <w:fldChar w:fldCharType="end"/>
      </w:r>
      <w:r w:rsidRPr="001C4717">
        <w:t xml:space="preserve">.  By </w:t>
      </w:r>
      <w:r w:rsidRPr="001C4717">
        <w:rPr>
          <w:rFonts w:hint="eastAsia"/>
        </w:rPr>
        <w:t>s</w:t>
      </w:r>
      <w:r w:rsidRPr="001C4717">
        <w:t xml:space="preserve">etting the </w:t>
      </w:r>
      <w:r w:rsidR="005631D3">
        <w:t>repair time in Figure 3</w:t>
      </w:r>
      <w:r w:rsidRPr="001C4717">
        <w:t xml:space="preserve"> to be 5 hours and 15 hours</w:t>
      </w:r>
      <w:r w:rsidR="00214D89">
        <w:t>, respectively,</w:t>
      </w:r>
      <w:r w:rsidRPr="001C4717">
        <w:t xml:space="preserve">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C4717">
        <w:t xml:space="preserve">, i.e., </w:t>
      </w:r>
      <m:oMath>
        <m:r>
          <w:rPr>
            <w:rFonts w:ascii="Cambria Math" w:hAnsi="Cambria Math"/>
          </w:rPr>
          <m:t>Z=5</m:t>
        </m:r>
        <m:r>
          <m:rPr>
            <m:sty m:val="p"/>
          </m:rPr>
          <w:rPr>
            <w:rFonts w:ascii="Cambria Math" w:hAnsi="Cambria Math"/>
          </w:rPr>
          <m:t xml:space="preserve"> and </m:t>
        </m:r>
        <m:r>
          <w:rPr>
            <w:rFonts w:ascii="Cambria Math" w:hAnsi="Cambria Math"/>
          </w:rPr>
          <m:t>15</m:t>
        </m:r>
      </m:oMath>
      <w:r w:rsidRPr="001C4717">
        <w:t xml:space="preserve">, the </w:t>
      </w:r>
      <w:r w:rsidR="00185692">
        <w:t>impacts</w:t>
      </w:r>
      <w:r w:rsidRPr="001C4717">
        <w:t xml:space="preserve"> of </w:t>
      </w:r>
      <w:r w:rsidR="00185692">
        <w:t>feed-interruption</w:t>
      </w:r>
      <w:r w:rsidRPr="001C4717">
        <w:t xml:space="preserve"> </w:t>
      </w:r>
      <w:r w:rsidR="005631D3">
        <w:t>duration</w:t>
      </w:r>
      <w:r w:rsidR="005631D3" w:rsidRPr="005631D3">
        <w:t xml:space="preserve"> </w:t>
      </w:r>
      <w:r w:rsidR="005631D3">
        <w:t xml:space="preserve">can be </w:t>
      </w:r>
      <w:r w:rsidR="0009177E">
        <w:t xml:space="preserve">clearly </w:t>
      </w:r>
      <w:r w:rsidR="005631D3">
        <w:t xml:space="preserve">observed from </w:t>
      </w:r>
      <w:r w:rsidR="005631D3" w:rsidRPr="005631D3">
        <w:t xml:space="preserve">the </w:t>
      </w:r>
      <w:r w:rsidR="00185692">
        <w:t>corresponding</w:t>
      </w:r>
      <w:r w:rsidR="005631D3" w:rsidRPr="005631D3">
        <w:t xml:space="preserve"> </w:t>
      </w:r>
      <w:r w:rsidR="00214D89">
        <w:t xml:space="preserve">simulation </w:t>
      </w:r>
      <w:r w:rsidR="005631D3" w:rsidRPr="005631D3">
        <w:t>results</w:t>
      </w:r>
      <w:r w:rsidR="00722DBF">
        <w:t>, and</w:t>
      </w:r>
      <w:r w:rsidR="0009177E" w:rsidRPr="0009177E">
        <w:t xml:space="preserve"> it </w:t>
      </w:r>
      <w:r w:rsidR="0009177E">
        <w:t xml:space="preserve">was </w:t>
      </w:r>
      <w:r w:rsidR="00722DBF">
        <w:t>concluded</w:t>
      </w:r>
      <w:r w:rsidR="0009177E">
        <w:t xml:space="preserve"> </w:t>
      </w:r>
      <w:r w:rsidR="0009177E" w:rsidRPr="0009177E">
        <w:t>that the proposed operating procedure is safe, feasible and effective</w:t>
      </w:r>
      <w:r w:rsidR="00722DBF">
        <w:t>.</w:t>
      </w:r>
      <w:r w:rsidR="0009177E">
        <w:t xml:space="preserve"> </w:t>
      </w:r>
      <w:r w:rsidR="00722DBF">
        <w:t>T</w:t>
      </w:r>
      <w:r w:rsidR="0009177E">
        <w:t>hese results are nonetheless omitted in this paper d</w:t>
      </w:r>
      <w:r w:rsidRPr="001C4717">
        <w:t xml:space="preserve">ue to </w:t>
      </w:r>
      <w:r w:rsidR="00214D89">
        <w:t xml:space="preserve">save </w:t>
      </w:r>
      <w:r w:rsidRPr="001C4717">
        <w:t>space</w:t>
      </w:r>
      <w:r w:rsidR="004742FF">
        <w:t>.</w:t>
      </w:r>
    </w:p>
    <w:p w14:paraId="40FC5FE4" w14:textId="7D6F8A8F" w:rsidR="000714A6" w:rsidRPr="000714A6" w:rsidRDefault="000714A6" w:rsidP="000714A6">
      <w:pPr>
        <w:pStyle w:val="CETHeading1"/>
      </w:pPr>
      <w:r>
        <w:lastRenderedPageBreak/>
        <w:t>Total-reflux operating procedure</w:t>
      </w:r>
    </w:p>
    <w:p w14:paraId="62588DC4" w14:textId="6AB5771C" w:rsidR="00D8430E" w:rsidRDefault="00C0724D" w:rsidP="00D8430E">
      <w:pPr>
        <w:pStyle w:val="CETBodytext"/>
        <w:rPr>
          <w:lang w:val="en-GB"/>
        </w:rPr>
      </w:pPr>
      <w:r>
        <w:rPr>
          <w:lang w:val="en-GB"/>
        </w:rPr>
        <w:t xml:space="preserve">To prevent </w:t>
      </w:r>
      <w:r w:rsidR="00D8430E" w:rsidRPr="00D8430E">
        <w:rPr>
          <w:lang w:val="en-GB"/>
        </w:rPr>
        <w:t xml:space="preserve">excessive </w:t>
      </w:r>
      <w:r>
        <w:rPr>
          <w:lang w:val="en-GB"/>
        </w:rPr>
        <w:t xml:space="preserve">GHG </w:t>
      </w:r>
      <w:r w:rsidR="00D8430E" w:rsidRPr="00D8430E">
        <w:rPr>
          <w:lang w:val="en-GB"/>
        </w:rPr>
        <w:t xml:space="preserve">emission, the total-reflux operation </w:t>
      </w:r>
      <w:r>
        <w:rPr>
          <w:lang w:val="en-GB"/>
        </w:rPr>
        <w:t>can</w:t>
      </w:r>
      <w:r w:rsidR="00D8430E" w:rsidRPr="00D8430E">
        <w:rPr>
          <w:lang w:val="en-GB"/>
        </w:rPr>
        <w:t xml:space="preserve"> be used as a potential alternative. Similar to the synthesis of tail-chase </w:t>
      </w:r>
      <w:r w:rsidR="00450AB7">
        <w:rPr>
          <w:lang w:val="en-GB"/>
        </w:rPr>
        <w:t>procedure</w:t>
      </w:r>
      <w:r w:rsidR="00D8430E" w:rsidRPr="00D8430E">
        <w:rPr>
          <w:lang w:val="en-GB"/>
        </w:rPr>
        <w:t xml:space="preserve">, the </w:t>
      </w:r>
      <w:r>
        <w:rPr>
          <w:lang w:val="en-GB"/>
        </w:rPr>
        <w:t>operating</w:t>
      </w:r>
      <w:r w:rsidR="00D8430E" w:rsidRPr="00D8430E">
        <w:rPr>
          <w:lang w:val="en-GB"/>
        </w:rPr>
        <w:t xml:space="preserve"> procedure</w:t>
      </w:r>
      <w:r>
        <w:rPr>
          <w:lang w:val="en-GB"/>
        </w:rPr>
        <w:t>s in the present were</w:t>
      </w:r>
      <w:r w:rsidR="00D8430E" w:rsidRPr="00D8430E">
        <w:rPr>
          <w:lang w:val="en-GB"/>
        </w:rPr>
        <w:t xml:space="preserve"> built in </w:t>
      </w:r>
      <w:r w:rsidR="002440D0">
        <w:rPr>
          <w:lang w:val="en-GB"/>
        </w:rPr>
        <w:t xml:space="preserve">essentially </w:t>
      </w:r>
      <w:r w:rsidR="00D8430E" w:rsidRPr="00D8430E">
        <w:rPr>
          <w:lang w:val="en-GB"/>
        </w:rPr>
        <w:t>the same four st</w:t>
      </w:r>
      <w:r w:rsidR="00450AB7">
        <w:rPr>
          <w:lang w:val="en-GB"/>
        </w:rPr>
        <w:t>ep</w:t>
      </w:r>
      <w:r w:rsidR="00D8430E" w:rsidRPr="00D8430E">
        <w:rPr>
          <w:lang w:val="en-GB"/>
        </w:rPr>
        <w:t xml:space="preserve">s </w:t>
      </w:r>
      <w:r>
        <w:rPr>
          <w:lang w:val="en-GB"/>
        </w:rPr>
        <w:t>reported</w:t>
      </w:r>
      <w:r w:rsidR="00D8430E" w:rsidRPr="00D8430E">
        <w:rPr>
          <w:lang w:val="en-GB"/>
        </w:rPr>
        <w:t xml:space="preserve"> previously.</w:t>
      </w:r>
      <w:r w:rsidR="00F20251" w:rsidRPr="00F20251">
        <w:rPr>
          <w:lang w:val="en-GB"/>
        </w:rPr>
        <w:t xml:space="preserve"> </w:t>
      </w:r>
      <w:r w:rsidR="00F46BDA">
        <w:rPr>
          <w:lang w:val="en-GB"/>
        </w:rPr>
        <w:t>Generally speaking, a</w:t>
      </w:r>
      <w:r w:rsidR="00F20251" w:rsidRPr="00F20251">
        <w:rPr>
          <w:lang w:val="en-GB"/>
        </w:rPr>
        <w:t>fter detecting the front-end failure, all inlet and outlet valves of every column in the back</w:t>
      </w:r>
      <w:r w:rsidR="00F46BDA">
        <w:rPr>
          <w:lang w:val="en-GB"/>
        </w:rPr>
        <w:t xml:space="preserve"> </w:t>
      </w:r>
      <w:r w:rsidR="00F20251" w:rsidRPr="00F20251">
        <w:rPr>
          <w:lang w:val="en-GB"/>
        </w:rPr>
        <w:t xml:space="preserve">end should be closed so as to allow each </w:t>
      </w:r>
      <w:r w:rsidR="00F46BDA">
        <w:rPr>
          <w:lang w:val="en-GB"/>
        </w:rPr>
        <w:t>column</w:t>
      </w:r>
      <w:r w:rsidR="00F20251" w:rsidRPr="00F20251">
        <w:rPr>
          <w:lang w:val="en-GB"/>
        </w:rPr>
        <w:t xml:space="preserve"> to be run independently. In other words, the resulting process structure can be thought of as a disconnected version of the original distillation train </w:t>
      </w:r>
      <w:r w:rsidR="00F46BDA">
        <w:rPr>
          <w:lang w:val="en-GB"/>
        </w:rPr>
        <w:t>shown</w:t>
      </w:r>
      <w:r w:rsidR="00F20251" w:rsidRPr="00F20251">
        <w:rPr>
          <w:lang w:val="en-GB"/>
        </w:rPr>
        <w:t xml:space="preserve"> in Figure 1. </w:t>
      </w:r>
      <w:r w:rsidR="00D8430E" w:rsidRPr="00D8430E">
        <w:rPr>
          <w:lang w:val="en-GB"/>
        </w:rPr>
        <w:t xml:space="preserve"> </w:t>
      </w:r>
      <w:r w:rsidR="00450AB7">
        <w:rPr>
          <w:lang w:val="en-GB"/>
        </w:rPr>
        <w:t xml:space="preserve">One </w:t>
      </w:r>
      <w:r w:rsidR="00F46BDA">
        <w:rPr>
          <w:lang w:val="en-GB"/>
        </w:rPr>
        <w:t>procedure</w:t>
      </w:r>
      <w:r w:rsidR="00D8430E" w:rsidRPr="00D8430E">
        <w:rPr>
          <w:lang w:val="en-GB"/>
        </w:rPr>
        <w:t xml:space="preserve"> is presented </w:t>
      </w:r>
      <w:r w:rsidR="00450AB7">
        <w:rPr>
          <w:lang w:val="en-GB"/>
        </w:rPr>
        <w:t xml:space="preserve">below </w:t>
      </w:r>
      <w:r w:rsidR="00D8430E" w:rsidRPr="00D8430E">
        <w:rPr>
          <w:lang w:val="en-GB"/>
        </w:rPr>
        <w:t xml:space="preserve">in Figure </w:t>
      </w:r>
      <w:r w:rsidR="002440D0">
        <w:rPr>
          <w:lang w:val="en-GB"/>
        </w:rPr>
        <w:t>4, while</w:t>
      </w:r>
      <w:r w:rsidR="002440D0" w:rsidRPr="002440D0">
        <w:t xml:space="preserve"> </w:t>
      </w:r>
      <w:r w:rsidR="002440D0" w:rsidRPr="002440D0">
        <w:rPr>
          <w:lang w:val="en-GB"/>
        </w:rPr>
        <w:t xml:space="preserve">the detailed </w:t>
      </w:r>
      <w:r>
        <w:rPr>
          <w:lang w:val="en-GB"/>
        </w:rPr>
        <w:t>description of this SFC is</w:t>
      </w:r>
      <w:r w:rsidR="002440D0" w:rsidRPr="002440D0">
        <w:rPr>
          <w:lang w:val="en-GB"/>
        </w:rPr>
        <w:t xml:space="preserve"> </w:t>
      </w:r>
      <w:r w:rsidR="00450AB7">
        <w:rPr>
          <w:lang w:val="en-GB"/>
        </w:rPr>
        <w:t xml:space="preserve">again </w:t>
      </w:r>
      <w:r w:rsidR="002440D0" w:rsidRPr="002440D0">
        <w:rPr>
          <w:lang w:val="en-GB"/>
        </w:rPr>
        <w:t>omitted</w:t>
      </w:r>
      <w:r w:rsidR="002440D0" w:rsidRPr="002440D0">
        <w:t xml:space="preserve"> </w:t>
      </w:r>
      <w:r w:rsidR="002440D0">
        <w:rPr>
          <w:lang w:val="en-GB"/>
        </w:rPr>
        <w:t>f</w:t>
      </w:r>
      <w:r w:rsidR="002440D0" w:rsidRPr="002440D0">
        <w:rPr>
          <w:lang w:val="en-GB"/>
        </w:rPr>
        <w:t>or the sake of brevity</w:t>
      </w:r>
      <w:r w:rsidR="002440D0">
        <w:rPr>
          <w:lang w:val="en-GB"/>
        </w:rPr>
        <w:t>.</w:t>
      </w:r>
      <w:r w:rsidR="007D081F">
        <w:rPr>
          <w:lang w:val="en-GB"/>
        </w:rPr>
        <w:t xml:space="preserve"> The interested readers may find this material in Chen (202</w:t>
      </w:r>
      <w:r w:rsidR="00F46BDA">
        <w:rPr>
          <w:lang w:val="en-GB"/>
        </w:rPr>
        <w:t>4</w:t>
      </w:r>
      <w:r w:rsidR="007D081F">
        <w:rPr>
          <w:lang w:val="en-GB"/>
        </w:rPr>
        <w:t>)</w:t>
      </w:r>
    </w:p>
    <w:p w14:paraId="1FBAD91F" w14:textId="5E284650" w:rsidR="002440D0" w:rsidRDefault="002440D0" w:rsidP="00D8430E">
      <w:pPr>
        <w:pStyle w:val="CETBodytext"/>
        <w:rPr>
          <w:lang w:val="en-GB"/>
        </w:rPr>
      </w:pPr>
    </w:p>
    <w:p w14:paraId="4A1E52EA" w14:textId="3E36815D" w:rsidR="002440D0" w:rsidRDefault="004742FF" w:rsidP="00D8430E">
      <w:pPr>
        <w:pStyle w:val="CETBodytext"/>
        <w:rPr>
          <w:lang w:val="en-GB"/>
        </w:rPr>
      </w:pPr>
      <w:r w:rsidRPr="004742FF">
        <w:rPr>
          <w:rFonts w:ascii="Times New Roman" w:hAnsi="Times New Roman"/>
          <w:noProof/>
          <w:kern w:val="2"/>
          <w:sz w:val="24"/>
          <w:szCs w:val="22"/>
          <w:lang w:eastAsia="zh-TW"/>
        </w:rPr>
        <w:drawing>
          <wp:inline distT="0" distB="0" distL="0" distR="0" wp14:anchorId="2FD2DAAC" wp14:editId="03086879">
            <wp:extent cx="5579745" cy="3256319"/>
            <wp:effectExtent l="0" t="0" r="0" b="1270"/>
            <wp:docPr id="3" name="圖片 72" descr="一張含有 黑色, 黑暗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68C841DC-418E-DAF3-BB04-267EDFFCEB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73596" name="圖片 72" descr="一張含有 黑色, 黑暗 的圖片&#10;&#10;自動產生的描述">
                      <a:extLst>
                        <a:ext uri="{FF2B5EF4-FFF2-40B4-BE49-F238E27FC236}">
                          <a16:creationId xmlns:a16="http://schemas.microsoft.com/office/drawing/2014/main" id="{68C841DC-418E-DAF3-BB04-267EDFFCEB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25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A2FB0" w14:textId="77777777" w:rsidR="001C6D78" w:rsidRDefault="001C6D78" w:rsidP="00450AB7">
      <w:pPr>
        <w:pStyle w:val="CETBodytext"/>
        <w:rPr>
          <w:i/>
          <w:lang w:val="en-GB"/>
        </w:rPr>
      </w:pPr>
    </w:p>
    <w:p w14:paraId="47E22A5F" w14:textId="6FF56F42" w:rsidR="00450AB7" w:rsidRPr="00DD75B0" w:rsidRDefault="00450AB7" w:rsidP="00450AB7">
      <w:pPr>
        <w:pStyle w:val="CETBodytext"/>
        <w:rPr>
          <w:i/>
          <w:lang w:val="en-GB"/>
        </w:rPr>
      </w:pPr>
      <w:r w:rsidRPr="00DD75B0">
        <w:rPr>
          <w:i/>
          <w:lang w:val="en-GB"/>
        </w:rPr>
        <w:t xml:space="preserve">Figure </w:t>
      </w:r>
      <w:r>
        <w:rPr>
          <w:i/>
          <w:lang w:val="en-GB"/>
        </w:rPr>
        <w:t>4</w:t>
      </w:r>
      <w:r w:rsidRPr="00DD75B0">
        <w:rPr>
          <w:i/>
          <w:lang w:val="en-GB"/>
        </w:rPr>
        <w:t xml:space="preserve">: </w:t>
      </w:r>
      <w:r>
        <w:rPr>
          <w:i/>
          <w:lang w:val="en-GB"/>
        </w:rPr>
        <w:t>Sequential function chart</w:t>
      </w:r>
      <w:r w:rsidRPr="00DD75B0">
        <w:rPr>
          <w:i/>
          <w:lang w:val="en-GB"/>
        </w:rPr>
        <w:t xml:space="preserve"> of </w:t>
      </w:r>
      <w:r>
        <w:rPr>
          <w:i/>
          <w:lang w:val="en-GB"/>
        </w:rPr>
        <w:t>total-reflux operation</w:t>
      </w:r>
    </w:p>
    <w:p w14:paraId="17B5714D" w14:textId="111779B4" w:rsidR="000714A6" w:rsidRPr="000714A6" w:rsidRDefault="000714A6" w:rsidP="000714A6">
      <w:pPr>
        <w:pStyle w:val="CETHeading1"/>
      </w:pPr>
      <w:r>
        <w:t>Impact</w:t>
      </w:r>
      <w:r w:rsidR="004742FF">
        <w:t>s</w:t>
      </w:r>
      <w:r>
        <w:t xml:space="preserve"> of repair time</w:t>
      </w:r>
    </w:p>
    <w:p w14:paraId="2AD8E2D3" w14:textId="23ECD7ED" w:rsidR="00C964AB" w:rsidRPr="00C964AB" w:rsidRDefault="00A67CA1" w:rsidP="00C964AB">
      <w:pPr>
        <w:pStyle w:val="CETBodytext"/>
      </w:pPr>
      <w:r w:rsidRPr="00A67CA1">
        <w:rPr>
          <w:lang w:val="en-GB"/>
        </w:rPr>
        <w:t xml:space="preserve">Although the </w:t>
      </w:r>
      <w:r>
        <w:rPr>
          <w:lang w:val="en-GB"/>
        </w:rPr>
        <w:t>above</w:t>
      </w:r>
      <w:r w:rsidRPr="00A67CA1">
        <w:rPr>
          <w:lang w:val="en-GB"/>
        </w:rPr>
        <w:t xml:space="preserve"> </w:t>
      </w:r>
      <w:r>
        <w:rPr>
          <w:lang w:val="en-GB"/>
        </w:rPr>
        <w:t xml:space="preserve">procedure </w:t>
      </w:r>
      <w:r w:rsidRPr="00A67CA1">
        <w:rPr>
          <w:lang w:val="en-GB"/>
        </w:rPr>
        <w:t xml:space="preserve">synthesis steps </w:t>
      </w:r>
      <w:r w:rsidR="007D6F64">
        <w:rPr>
          <w:lang w:val="en-GB"/>
        </w:rPr>
        <w:t>were tested</w:t>
      </w:r>
      <w:r w:rsidRPr="00A67CA1">
        <w:rPr>
          <w:lang w:val="en-GB"/>
        </w:rPr>
        <w:t xml:space="preserve"> only in </w:t>
      </w:r>
      <w:r w:rsidR="00927FA5">
        <w:rPr>
          <w:lang w:val="en-GB"/>
        </w:rPr>
        <w:t>the</w:t>
      </w:r>
      <w:r w:rsidRPr="00A67CA1">
        <w:rPr>
          <w:lang w:val="en-GB"/>
        </w:rPr>
        <w:t xml:space="preserve"> working example, the proposed method </w:t>
      </w:r>
      <w:r w:rsidR="00927FA5">
        <w:rPr>
          <w:lang w:val="en-GB"/>
        </w:rPr>
        <w:t>is expected to be</w:t>
      </w:r>
      <w:r w:rsidRPr="00A67CA1">
        <w:rPr>
          <w:lang w:val="en-GB"/>
        </w:rPr>
        <w:t xml:space="preserve"> generalizable.</w:t>
      </w:r>
      <w:r>
        <w:rPr>
          <w:lang w:val="en-GB"/>
        </w:rPr>
        <w:t xml:space="preserve"> </w:t>
      </w:r>
      <w:r w:rsidR="007D6F64">
        <w:rPr>
          <w:lang w:val="en-GB"/>
        </w:rPr>
        <w:t>R</w:t>
      </w:r>
      <w:r w:rsidR="00296577" w:rsidRPr="00296577">
        <w:rPr>
          <w:lang w:val="en-GB"/>
        </w:rPr>
        <w:t xml:space="preserve">igorous simulation </w:t>
      </w:r>
      <w:r w:rsidR="00210AB9">
        <w:rPr>
          <w:lang w:val="en-GB"/>
        </w:rPr>
        <w:t>data</w:t>
      </w:r>
      <w:r w:rsidR="00296577" w:rsidRPr="00296577">
        <w:rPr>
          <w:lang w:val="en-GB"/>
        </w:rPr>
        <w:t xml:space="preserve"> </w:t>
      </w:r>
      <w:r>
        <w:rPr>
          <w:lang w:val="en-GB"/>
        </w:rPr>
        <w:t>were</w:t>
      </w:r>
      <w:r w:rsidR="00296577" w:rsidRPr="00296577">
        <w:rPr>
          <w:lang w:val="en-GB"/>
        </w:rPr>
        <w:t xml:space="preserve"> </w:t>
      </w:r>
      <w:r w:rsidR="00210AB9">
        <w:rPr>
          <w:lang w:val="en-GB"/>
        </w:rPr>
        <w:t xml:space="preserve">generated </w:t>
      </w:r>
      <w:r w:rsidR="005A0FB1">
        <w:rPr>
          <w:lang w:val="en-GB"/>
        </w:rPr>
        <w:t xml:space="preserve">for two typical </w:t>
      </w:r>
      <w:r w:rsidR="00C0724D">
        <w:rPr>
          <w:lang w:val="en-GB"/>
        </w:rPr>
        <w:t>repair time</w:t>
      </w:r>
      <w:r w:rsidR="005A0FB1">
        <w:rPr>
          <w:lang w:val="en-GB"/>
        </w:rPr>
        <w:t>s</w:t>
      </w:r>
      <w:r w:rsidR="00296577" w:rsidRPr="00296577">
        <w:rPr>
          <w:lang w:val="en-GB"/>
        </w:rPr>
        <w:t xml:space="preserve"> </w:t>
      </w:r>
      <w:r w:rsidR="002837C0">
        <w:rPr>
          <w:lang w:val="en-GB"/>
        </w:rPr>
        <w:t>(</w:t>
      </w:r>
      <m:oMath>
        <m:r>
          <w:rPr>
            <w:rFonts w:ascii="Cambria Math" w:hAnsi="Cambria Math"/>
            <w:lang w:val="en-GB"/>
          </w:rPr>
          <m:t>Z</m:t>
        </m:r>
      </m:oMath>
      <w:r w:rsidR="002837C0">
        <w:rPr>
          <w:rFonts w:eastAsia="新細明體" w:hint="eastAsia"/>
          <w:lang w:val="en-GB" w:eastAsia="zh-TW"/>
        </w:rPr>
        <w:t xml:space="preserve">) </w:t>
      </w:r>
      <w:r w:rsidR="00C0724D">
        <w:rPr>
          <w:lang w:val="en-GB"/>
        </w:rPr>
        <w:t>in implementing</w:t>
      </w:r>
      <w:r w:rsidR="00296577" w:rsidRPr="00296577">
        <w:rPr>
          <w:lang w:val="en-GB"/>
        </w:rPr>
        <w:t xml:space="preserve"> the procedures</w:t>
      </w:r>
      <w:r w:rsidR="002837C0">
        <w:rPr>
          <w:lang w:val="en-GB"/>
        </w:rPr>
        <w:t xml:space="preserve"> given in Figures 3 and 4</w:t>
      </w:r>
      <w:r w:rsidR="00296577" w:rsidRPr="00296577">
        <w:rPr>
          <w:lang w:val="en-GB"/>
        </w:rPr>
        <w:t>.</w:t>
      </w:r>
      <w:r w:rsidR="005A0FB1">
        <w:rPr>
          <w:lang w:val="en-GB"/>
        </w:rPr>
        <w:t xml:space="preserve"> </w:t>
      </w:r>
      <w:r w:rsidR="00927FA5">
        <w:rPr>
          <w:lang w:val="en-GB"/>
        </w:rPr>
        <w:t>An</w:t>
      </w:r>
      <w:r w:rsidR="005A0FB1">
        <w:rPr>
          <w:lang w:val="en-GB"/>
        </w:rPr>
        <w:t xml:space="preserve"> importan</w:t>
      </w:r>
      <w:r>
        <w:rPr>
          <w:lang w:val="en-GB"/>
        </w:rPr>
        <w:t>t</w:t>
      </w:r>
      <w:r w:rsidR="00927FA5">
        <w:rPr>
          <w:lang w:val="en-GB"/>
        </w:rPr>
        <w:t xml:space="preserve"> criterion </w:t>
      </w:r>
      <w:r w:rsidR="00EC4EC9">
        <w:rPr>
          <w:lang w:val="en-GB"/>
        </w:rPr>
        <w:t xml:space="preserve">can </w:t>
      </w:r>
      <w:r w:rsidR="00210AB9">
        <w:rPr>
          <w:lang w:val="en-GB"/>
        </w:rPr>
        <w:t xml:space="preserve">then </w:t>
      </w:r>
      <w:r w:rsidR="00EC4EC9">
        <w:rPr>
          <w:lang w:val="en-GB"/>
        </w:rPr>
        <w:t xml:space="preserve">be </w:t>
      </w:r>
      <w:r w:rsidR="00210AB9">
        <w:rPr>
          <w:lang w:val="en-GB"/>
        </w:rPr>
        <w:t>established</w:t>
      </w:r>
      <w:r w:rsidR="00927FA5">
        <w:rPr>
          <w:lang w:val="en-GB"/>
        </w:rPr>
        <w:t xml:space="preserve"> according</w:t>
      </w:r>
      <w:r w:rsidR="00210AB9">
        <w:rPr>
          <w:lang w:val="en-GB"/>
        </w:rPr>
        <w:t>ly</w:t>
      </w:r>
      <w:r w:rsidR="00EC4EC9">
        <w:rPr>
          <w:lang w:val="en-GB"/>
        </w:rPr>
        <w:t xml:space="preserve"> </w:t>
      </w:r>
      <w:r w:rsidR="00210AB9">
        <w:rPr>
          <w:lang w:val="en-GB"/>
        </w:rPr>
        <w:t>to</w:t>
      </w:r>
      <w:r w:rsidR="00EC4EC9">
        <w:rPr>
          <w:lang w:val="en-GB"/>
        </w:rPr>
        <w:t xml:space="preserve"> select the proper emergency response strategy</w:t>
      </w:r>
      <w:r w:rsidR="007D6F64">
        <w:rPr>
          <w:lang w:val="en-GB"/>
        </w:rPr>
        <w:t xml:space="preserve"> in any specific scenario</w:t>
      </w:r>
      <w:r w:rsidR="00210AB9">
        <w:rPr>
          <w:lang w:val="en-GB"/>
        </w:rPr>
        <w:t xml:space="preserve">. This </w:t>
      </w:r>
      <w:r w:rsidR="00F0142E">
        <w:rPr>
          <w:lang w:val="en-GB"/>
        </w:rPr>
        <w:t xml:space="preserve">same </w:t>
      </w:r>
      <w:r w:rsidR="00210AB9">
        <w:rPr>
          <w:lang w:val="en-GB"/>
        </w:rPr>
        <w:t>selection approach can be</w:t>
      </w:r>
      <w:r w:rsidR="0069264C">
        <w:rPr>
          <w:lang w:val="en-GB"/>
        </w:rPr>
        <w:t xml:space="preserve"> </w:t>
      </w:r>
      <w:r w:rsidR="007D6F64">
        <w:rPr>
          <w:lang w:val="en-GB"/>
        </w:rPr>
        <w:t>adopted for running the</w:t>
      </w:r>
      <w:r w:rsidR="0069264C">
        <w:rPr>
          <w:lang w:val="en-GB"/>
        </w:rPr>
        <w:t xml:space="preserve"> other chemical processes</w:t>
      </w:r>
      <w:r w:rsidR="00210AB9">
        <w:rPr>
          <w:lang w:val="en-GB"/>
        </w:rPr>
        <w:t xml:space="preserve"> in a straightforward fashion.</w:t>
      </w:r>
      <w:r>
        <w:rPr>
          <w:lang w:val="en-GB"/>
        </w:rPr>
        <w:t xml:space="preserve">  </w:t>
      </w:r>
    </w:p>
    <w:p w14:paraId="5D8282E8" w14:textId="1D9C8BC2" w:rsidR="00C964AB" w:rsidRPr="00C964AB" w:rsidRDefault="00360E08" w:rsidP="00C964AB">
      <w:pPr>
        <w:keepNext/>
        <w:numPr>
          <w:ilvl w:val="2"/>
          <w:numId w:val="1"/>
        </w:numPr>
        <w:tabs>
          <w:tab w:val="clear" w:pos="7100"/>
        </w:tabs>
        <w:suppressAutoHyphens/>
        <w:spacing w:before="120" w:after="120" w:line="240" w:lineRule="auto"/>
        <w:ind w:left="0"/>
        <w:jc w:val="left"/>
        <w:rPr>
          <w:b/>
          <w:lang w:val="en-US"/>
        </w:rPr>
      </w:pPr>
      <w:r>
        <w:rPr>
          <w:b/>
          <w:lang w:val="en-US"/>
        </w:rPr>
        <w:t>Short-term repairs</w:t>
      </w:r>
    </w:p>
    <w:p w14:paraId="504C8E8B" w14:textId="13519475" w:rsidR="00C964AB" w:rsidRDefault="00B613C7" w:rsidP="00C964AB">
      <w:r w:rsidRPr="00B613C7">
        <w:rPr>
          <w:lang w:val="en-US"/>
        </w:rPr>
        <w:t xml:space="preserve">Let us first assume that the front-end equipment failure(s) in </w:t>
      </w:r>
      <w:r w:rsidRPr="00B613C7">
        <w:rPr>
          <w:rFonts w:hint="eastAsia"/>
          <w:lang w:val="en-US"/>
        </w:rPr>
        <w:t>t</w:t>
      </w:r>
      <w:r w:rsidRPr="00B613C7">
        <w:rPr>
          <w:lang w:val="en-US"/>
        </w:rPr>
        <w:t>he above naphtha cracking plant is expected to be repaired in 5 hours</w:t>
      </w:r>
      <w:r w:rsidR="007D6F64">
        <w:rPr>
          <w:lang w:val="en-US"/>
        </w:rPr>
        <w:t>.</w:t>
      </w:r>
      <w:r w:rsidRPr="00B613C7">
        <w:rPr>
          <w:lang w:val="en-US"/>
        </w:rPr>
        <w:t xml:space="preserve"> Tables </w:t>
      </w:r>
      <w:r>
        <w:rPr>
          <w:lang w:val="en-US"/>
        </w:rPr>
        <w:t>2 and 3</w:t>
      </w:r>
      <w:r w:rsidRPr="00B613C7">
        <w:rPr>
          <w:lang w:val="en-US"/>
        </w:rPr>
        <w:t xml:space="preserve"> show summaries of </w:t>
      </w:r>
      <w:r>
        <w:rPr>
          <w:lang w:val="en-US"/>
        </w:rPr>
        <w:t xml:space="preserve">GHG </w:t>
      </w:r>
      <w:r w:rsidRPr="00B613C7">
        <w:rPr>
          <w:lang w:val="en-US"/>
        </w:rPr>
        <w:t xml:space="preserve">emission (mainly from column T-4001) and utility consumption </w:t>
      </w:r>
      <w:r w:rsidR="000144CE">
        <w:rPr>
          <w:lang w:val="en-US"/>
        </w:rPr>
        <w:t xml:space="preserve">amounts </w:t>
      </w:r>
      <w:r w:rsidRPr="00B613C7">
        <w:rPr>
          <w:lang w:val="en-US"/>
        </w:rPr>
        <w:t xml:space="preserve">in reboilers and condensers obtained </w:t>
      </w:r>
      <w:r>
        <w:rPr>
          <w:lang w:val="en-US"/>
        </w:rPr>
        <w:t xml:space="preserve">from </w:t>
      </w:r>
      <w:r w:rsidRPr="00B613C7">
        <w:rPr>
          <w:lang w:val="en-US"/>
        </w:rPr>
        <w:t xml:space="preserve">simulation results generated respectively by applying the tail-chase and total-reflux </w:t>
      </w:r>
      <w:r w:rsidR="008B134B">
        <w:rPr>
          <w:lang w:val="en-US"/>
        </w:rPr>
        <w:t xml:space="preserve">operating </w:t>
      </w:r>
      <w:r w:rsidRPr="00B613C7">
        <w:rPr>
          <w:lang w:val="en-US"/>
        </w:rPr>
        <w:t>strategies</w:t>
      </w:r>
      <w:r>
        <w:t>.</w:t>
      </w:r>
      <w:r w:rsidR="00BC572B" w:rsidRPr="00BC572B">
        <w:t xml:space="preserve"> </w:t>
      </w:r>
      <w:r w:rsidR="002A3C62">
        <w:t xml:space="preserve">Based on </w:t>
      </w:r>
      <w:r w:rsidR="00E3754D">
        <w:t xml:space="preserve">the overall </w:t>
      </w:r>
      <w:r w:rsidR="002A3C62">
        <w:t xml:space="preserve">GHG </w:t>
      </w:r>
      <w:r w:rsidR="002A3C62" w:rsidRPr="00BC572B">
        <w:t>emission abatement capability</w:t>
      </w:r>
      <w:r w:rsidR="002A3C62">
        <w:t>, the former strategy seems to be a</w:t>
      </w:r>
      <w:r w:rsidR="00BC572B" w:rsidRPr="00BC572B">
        <w:t xml:space="preserve"> better </w:t>
      </w:r>
      <w:r w:rsidR="002A3C62">
        <w:t xml:space="preserve">choice </w:t>
      </w:r>
      <w:r w:rsidR="002A3C62" w:rsidRPr="00BC572B">
        <w:t xml:space="preserve">if </w:t>
      </w:r>
      <w:r w:rsidR="00E3754D">
        <w:t>the repairing job</w:t>
      </w:r>
      <w:r w:rsidR="002A3C62" w:rsidRPr="00BC572B">
        <w:t xml:space="preserve"> can be </w:t>
      </w:r>
      <w:r w:rsidR="00E3754D">
        <w:t>completed</w:t>
      </w:r>
      <w:r w:rsidR="002A3C62" w:rsidRPr="00BC572B">
        <w:t xml:space="preserve"> in a relatively short </w:t>
      </w:r>
      <w:r w:rsidR="002A3C62">
        <w:t xml:space="preserve">time </w:t>
      </w:r>
      <w:r w:rsidR="002A3C62" w:rsidRPr="00BC572B">
        <w:t>period</w:t>
      </w:r>
      <w:r w:rsidR="002A3C62">
        <w:t>.</w:t>
      </w:r>
    </w:p>
    <w:p w14:paraId="67F6B927" w14:textId="7F29E907" w:rsidR="00B859A1" w:rsidRDefault="00B859A1" w:rsidP="00C964AB">
      <w:bookmarkStart w:id="17" w:name="_Hlk199168043"/>
    </w:p>
    <w:p w14:paraId="4B55400E" w14:textId="7C56E265" w:rsidR="009D06F8" w:rsidRPr="009D06F8" w:rsidRDefault="009D06F8" w:rsidP="009D06F8">
      <w:pPr>
        <w:rPr>
          <w:i/>
        </w:rPr>
      </w:pPr>
      <w:r w:rsidRPr="009D06F8">
        <w:rPr>
          <w:i/>
        </w:rPr>
        <w:t xml:space="preserve">Table </w:t>
      </w:r>
      <w:r w:rsidR="00D04336">
        <w:rPr>
          <w:i/>
        </w:rPr>
        <w:t>2</w:t>
      </w:r>
      <w:r w:rsidRPr="009D06F8">
        <w:rPr>
          <w:i/>
        </w:rPr>
        <w:t xml:space="preserve">: </w:t>
      </w:r>
      <w:r w:rsidR="001879F4" w:rsidRPr="001879F4">
        <w:rPr>
          <w:i/>
          <w:lang w:val="en-US"/>
        </w:rPr>
        <w:t xml:space="preserve">Total amounts of off-spec products and consumed energy caused by </w:t>
      </w:r>
      <w:r w:rsidR="00513959">
        <w:rPr>
          <w:i/>
          <w:lang w:val="en-US"/>
        </w:rPr>
        <w:t>using</w:t>
      </w:r>
      <w:r w:rsidR="001879F4" w:rsidRPr="001879F4">
        <w:rPr>
          <w:i/>
          <w:lang w:val="en-US"/>
        </w:rPr>
        <w:t xml:space="preserve"> alternative </w:t>
      </w:r>
      <w:r w:rsidR="00B613C7">
        <w:rPr>
          <w:i/>
          <w:lang w:val="en-US"/>
        </w:rPr>
        <w:t>operating</w:t>
      </w:r>
      <w:r w:rsidR="001879F4" w:rsidRPr="001879F4">
        <w:rPr>
          <w:i/>
          <w:lang w:val="en-US"/>
        </w:rPr>
        <w:t xml:space="preserve"> </w:t>
      </w:r>
      <w:r w:rsidR="00C96920">
        <w:rPr>
          <w:i/>
          <w:lang w:val="en-US"/>
        </w:rPr>
        <w:t>procedures</w:t>
      </w:r>
      <w:r w:rsidR="001879F4" w:rsidRPr="001879F4">
        <w:rPr>
          <w:i/>
          <w:lang w:val="en-US"/>
        </w:rPr>
        <w:t xml:space="preserve"> </w:t>
      </w:r>
      <w:r w:rsidR="001879F4" w:rsidRPr="001879F4">
        <w:rPr>
          <w:rFonts w:hint="eastAsia"/>
          <w:i/>
          <w:lang w:val="en-US"/>
        </w:rPr>
        <w:t>t</w:t>
      </w:r>
      <w:r w:rsidR="001879F4" w:rsidRPr="001879F4">
        <w:rPr>
          <w:i/>
          <w:lang w:val="en-US"/>
        </w:rPr>
        <w:t>o mitigate effects of front-end failure(s) in a naphtha cracking plant within 5 hours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2"/>
        <w:gridCol w:w="2723"/>
        <w:gridCol w:w="970"/>
        <w:gridCol w:w="740"/>
        <w:gridCol w:w="606"/>
        <w:gridCol w:w="2116"/>
      </w:tblGrid>
      <w:tr w:rsidR="0095737A" w:rsidRPr="009D06F8" w14:paraId="3D1D81BB" w14:textId="77777777" w:rsidTr="00513959">
        <w:trPr>
          <w:trHeight w:val="115"/>
        </w:trPr>
        <w:tc>
          <w:tcPr>
            <w:tcW w:w="928" w:type="pct"/>
            <w:vMerge w:val="restart"/>
            <w:tcBorders>
              <w:top w:val="single" w:sz="12" w:space="0" w:color="008000"/>
            </w:tcBorders>
            <w:shd w:val="clear" w:color="auto" w:fill="FFFFFF"/>
          </w:tcPr>
          <w:p w14:paraId="20873014" w14:textId="2B812F6E" w:rsidR="0095737A" w:rsidRPr="001879F4" w:rsidRDefault="001879F4" w:rsidP="009D06F8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O</w:t>
            </w:r>
            <w:r>
              <w:rPr>
                <w:rFonts w:eastAsia="新細明體"/>
                <w:lang w:eastAsia="zh-TW"/>
              </w:rPr>
              <w:t>perating strategy</w:t>
            </w:r>
          </w:p>
        </w:tc>
        <w:tc>
          <w:tcPr>
            <w:tcW w:w="1549" w:type="pct"/>
            <w:vMerge w:val="restart"/>
            <w:tcBorders>
              <w:top w:val="single" w:sz="12" w:space="0" w:color="008000"/>
            </w:tcBorders>
            <w:shd w:val="clear" w:color="auto" w:fill="FFFFFF"/>
          </w:tcPr>
          <w:p w14:paraId="7D4C44AE" w14:textId="6C0AB1FC" w:rsidR="0095737A" w:rsidRPr="002B2F14" w:rsidRDefault="002B2F14" w:rsidP="009D06F8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</w:t>
            </w:r>
            <w:r w:rsidRPr="00C96920">
              <w:rPr>
                <w:rFonts w:eastAsia="新細明體"/>
                <w:lang w:eastAsia="zh-TW"/>
              </w:rPr>
              <w:t>mount of off-spec product</w:t>
            </w:r>
            <w:r w:rsidR="00CD207C" w:rsidRPr="00C96920">
              <w:rPr>
                <w:rFonts w:eastAsia="新細明體"/>
                <w:lang w:eastAsia="zh-TW"/>
              </w:rPr>
              <w:t xml:space="preserve"> (lb)</w:t>
            </w:r>
          </w:p>
        </w:tc>
        <w:tc>
          <w:tcPr>
            <w:tcW w:w="1318" w:type="pct"/>
            <w:gridSpan w:val="3"/>
            <w:tcBorders>
              <w:top w:val="single" w:sz="12" w:space="0" w:color="008000"/>
              <w:bottom w:val="single" w:sz="4" w:space="0" w:color="9BBB59" w:themeColor="accent3"/>
            </w:tcBorders>
            <w:shd w:val="clear" w:color="auto" w:fill="FFFFFF"/>
          </w:tcPr>
          <w:p w14:paraId="71F3CA1C" w14:textId="7D383C22" w:rsidR="0095737A" w:rsidRPr="009D06F8" w:rsidRDefault="00CD207C" w:rsidP="009D06F8">
            <w:r w:rsidRPr="00CD207C">
              <w:rPr>
                <w:lang w:val="en-US"/>
              </w:rPr>
              <w:t>Energy consumed (</w:t>
            </w:r>
            <w:proofErr w:type="spellStart"/>
            <w:r w:rsidRPr="00CD207C">
              <w:rPr>
                <w:lang w:val="en-US"/>
              </w:rPr>
              <w:t>MBtu</w:t>
            </w:r>
            <w:proofErr w:type="spellEnd"/>
            <w:r w:rsidRPr="00CD207C">
              <w:rPr>
                <w:lang w:val="en-US"/>
              </w:rPr>
              <w:t>)</w:t>
            </w:r>
          </w:p>
        </w:tc>
        <w:tc>
          <w:tcPr>
            <w:tcW w:w="1204" w:type="pct"/>
            <w:vMerge w:val="restart"/>
            <w:tcBorders>
              <w:top w:val="single" w:sz="12" w:space="0" w:color="008000"/>
              <w:bottom w:val="single" w:sz="12" w:space="0" w:color="9BBB59" w:themeColor="accent3"/>
            </w:tcBorders>
            <w:shd w:val="clear" w:color="auto" w:fill="FFFFFF"/>
          </w:tcPr>
          <w:p w14:paraId="309D7A9A" w14:textId="2C178C5B" w:rsidR="0095737A" w:rsidRPr="00D04336" w:rsidRDefault="00C96920" w:rsidP="009D06F8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</w:t>
            </w:r>
            <w:r>
              <w:rPr>
                <w:rFonts w:eastAsia="新細明體"/>
                <w:lang w:eastAsia="zh-TW"/>
              </w:rPr>
              <w:t>otal operation time (hr)</w:t>
            </w:r>
          </w:p>
        </w:tc>
      </w:tr>
      <w:tr w:rsidR="00CD207C" w:rsidRPr="009D06F8" w14:paraId="04D6FC93" w14:textId="77777777" w:rsidTr="00513959">
        <w:trPr>
          <w:trHeight w:val="115"/>
        </w:trPr>
        <w:tc>
          <w:tcPr>
            <w:tcW w:w="928" w:type="pct"/>
            <w:vMerge/>
            <w:tcBorders>
              <w:bottom w:val="single" w:sz="4" w:space="0" w:color="9BBB59" w:themeColor="accent3"/>
            </w:tcBorders>
            <w:shd w:val="clear" w:color="auto" w:fill="FFFFFF"/>
          </w:tcPr>
          <w:p w14:paraId="1647CC72" w14:textId="77777777" w:rsidR="00CD207C" w:rsidRPr="009D06F8" w:rsidRDefault="00CD207C" w:rsidP="00CD207C"/>
        </w:tc>
        <w:tc>
          <w:tcPr>
            <w:tcW w:w="1549" w:type="pct"/>
            <w:vMerge/>
            <w:tcBorders>
              <w:bottom w:val="single" w:sz="4" w:space="0" w:color="9BBB59" w:themeColor="accent3"/>
            </w:tcBorders>
            <w:shd w:val="clear" w:color="auto" w:fill="FFFFFF"/>
          </w:tcPr>
          <w:p w14:paraId="5B7AE809" w14:textId="77777777" w:rsidR="00CD207C" w:rsidRPr="009D06F8" w:rsidRDefault="00CD207C" w:rsidP="00CD207C"/>
        </w:tc>
        <w:tc>
          <w:tcPr>
            <w:tcW w:w="552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vAlign w:val="center"/>
          </w:tcPr>
          <w:p w14:paraId="1CE6754E" w14:textId="297EB16F" w:rsidR="00CD207C" w:rsidRPr="00CD207C" w:rsidRDefault="00CD207C" w:rsidP="00CD207C">
            <w:pPr>
              <w:rPr>
                <w:szCs w:val="18"/>
              </w:rPr>
            </w:pPr>
            <w:r w:rsidRPr="00CD207C">
              <w:rPr>
                <w:rFonts w:eastAsia="新細明體"/>
                <w:color w:val="000000"/>
                <w:szCs w:val="18"/>
              </w:rPr>
              <w:t>Condenser</w:t>
            </w:r>
          </w:p>
        </w:tc>
        <w:tc>
          <w:tcPr>
            <w:tcW w:w="421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vAlign w:val="center"/>
          </w:tcPr>
          <w:p w14:paraId="502EE26A" w14:textId="7C69C6E9" w:rsidR="00CD207C" w:rsidRPr="00CD207C" w:rsidRDefault="00CD207C" w:rsidP="00CD207C">
            <w:pPr>
              <w:rPr>
                <w:szCs w:val="18"/>
              </w:rPr>
            </w:pPr>
            <w:r w:rsidRPr="00CD207C">
              <w:rPr>
                <w:rFonts w:eastAsia="新細明體"/>
                <w:color w:val="000000"/>
                <w:szCs w:val="18"/>
              </w:rPr>
              <w:t>Reboiler</w:t>
            </w:r>
          </w:p>
        </w:tc>
        <w:tc>
          <w:tcPr>
            <w:tcW w:w="345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vAlign w:val="center"/>
          </w:tcPr>
          <w:p w14:paraId="15248B12" w14:textId="0100E5D0" w:rsidR="00CD207C" w:rsidRPr="00CD207C" w:rsidRDefault="00CD207C" w:rsidP="00CD207C">
            <w:pPr>
              <w:rPr>
                <w:szCs w:val="18"/>
              </w:rPr>
            </w:pPr>
            <w:r w:rsidRPr="00CD207C">
              <w:rPr>
                <w:rFonts w:eastAsia="新細明體"/>
                <w:color w:val="000000"/>
                <w:szCs w:val="18"/>
              </w:rPr>
              <w:t>Total</w:t>
            </w:r>
          </w:p>
        </w:tc>
        <w:tc>
          <w:tcPr>
            <w:tcW w:w="1204" w:type="pct"/>
            <w:vMerge/>
            <w:tcBorders>
              <w:top w:val="nil"/>
              <w:left w:val="nil"/>
              <w:bottom w:val="single" w:sz="4" w:space="0" w:color="9BBB59" w:themeColor="accent3"/>
            </w:tcBorders>
            <w:shd w:val="clear" w:color="auto" w:fill="FFFFFF"/>
          </w:tcPr>
          <w:p w14:paraId="35F7F74C" w14:textId="77777777" w:rsidR="00CD207C" w:rsidRDefault="00CD207C" w:rsidP="00CD207C">
            <w:pPr>
              <w:rPr>
                <w:rFonts w:eastAsia="新細明體"/>
                <w:lang w:eastAsia="zh-TW"/>
              </w:rPr>
            </w:pPr>
          </w:p>
        </w:tc>
      </w:tr>
      <w:tr w:rsidR="00CD207C" w:rsidRPr="009D06F8" w14:paraId="39F0F758" w14:textId="77777777" w:rsidTr="00513959">
        <w:tc>
          <w:tcPr>
            <w:tcW w:w="928" w:type="pct"/>
            <w:tcBorders>
              <w:top w:val="single" w:sz="4" w:space="0" w:color="9BBB59" w:themeColor="accent3"/>
            </w:tcBorders>
            <w:shd w:val="clear" w:color="auto" w:fill="FFFFFF"/>
          </w:tcPr>
          <w:p w14:paraId="3006C59E" w14:textId="46256410" w:rsidR="00CD207C" w:rsidRPr="001879F4" w:rsidRDefault="00CD207C" w:rsidP="00CD207C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</w:t>
            </w:r>
            <w:r>
              <w:rPr>
                <w:rFonts w:eastAsia="新細明體"/>
                <w:lang w:eastAsia="zh-TW"/>
              </w:rPr>
              <w:t>ail chase</w:t>
            </w:r>
          </w:p>
        </w:tc>
        <w:tc>
          <w:tcPr>
            <w:tcW w:w="1549" w:type="pct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7FA58" w14:textId="69B55939" w:rsidR="00CD207C" w:rsidRPr="00F4262A" w:rsidRDefault="00CD207C" w:rsidP="00CD207C">
            <w:pPr>
              <w:rPr>
                <w:szCs w:val="18"/>
              </w:rPr>
            </w:pPr>
            <w:r w:rsidRPr="00F4262A">
              <w:rPr>
                <w:rFonts w:eastAsia="新細明體"/>
                <w:color w:val="000000"/>
                <w:szCs w:val="18"/>
              </w:rPr>
              <w:t>4868688.6</w:t>
            </w:r>
          </w:p>
        </w:tc>
        <w:tc>
          <w:tcPr>
            <w:tcW w:w="552" w:type="pct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1E2D" w14:textId="774EFB5E" w:rsidR="00CD207C" w:rsidRPr="00F4262A" w:rsidRDefault="00CD207C" w:rsidP="00CD207C">
            <w:pPr>
              <w:rPr>
                <w:szCs w:val="18"/>
              </w:rPr>
            </w:pPr>
            <w:r w:rsidRPr="00F4262A">
              <w:rPr>
                <w:rFonts w:eastAsia="新細明體"/>
                <w:color w:val="000000"/>
                <w:szCs w:val="18"/>
              </w:rPr>
              <w:t>-1806.4</w:t>
            </w:r>
          </w:p>
        </w:tc>
        <w:tc>
          <w:tcPr>
            <w:tcW w:w="421" w:type="pct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18861" w14:textId="2C0E4D12" w:rsidR="00CD207C" w:rsidRPr="00F4262A" w:rsidRDefault="00CD207C" w:rsidP="00CD207C">
            <w:pPr>
              <w:rPr>
                <w:szCs w:val="18"/>
              </w:rPr>
            </w:pPr>
            <w:r w:rsidRPr="00F4262A">
              <w:rPr>
                <w:rFonts w:eastAsia="新細明體"/>
                <w:color w:val="000000"/>
                <w:szCs w:val="18"/>
              </w:rPr>
              <w:t>2265.1</w:t>
            </w:r>
          </w:p>
        </w:tc>
        <w:tc>
          <w:tcPr>
            <w:tcW w:w="345" w:type="pct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BC170" w14:textId="3BAF7232" w:rsidR="00CD207C" w:rsidRPr="00F4262A" w:rsidRDefault="00CD207C" w:rsidP="00CD207C">
            <w:pPr>
              <w:rPr>
                <w:szCs w:val="18"/>
              </w:rPr>
            </w:pPr>
            <w:r w:rsidRPr="00F4262A">
              <w:rPr>
                <w:rFonts w:eastAsia="新細明體"/>
                <w:color w:val="000000"/>
                <w:szCs w:val="18"/>
              </w:rPr>
              <w:t>4071.6</w:t>
            </w:r>
          </w:p>
        </w:tc>
        <w:tc>
          <w:tcPr>
            <w:tcW w:w="1204" w:type="pct"/>
            <w:tcBorders>
              <w:top w:val="single" w:sz="4" w:space="0" w:color="9BBB59" w:themeColor="accent3"/>
              <w:left w:val="nil"/>
            </w:tcBorders>
            <w:shd w:val="clear" w:color="auto" w:fill="FFFFFF"/>
          </w:tcPr>
          <w:p w14:paraId="6E289364" w14:textId="6F910AEE" w:rsidR="00CD207C" w:rsidRPr="00C96920" w:rsidRDefault="00C96920" w:rsidP="00C96920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1</w:t>
            </w:r>
            <w:r>
              <w:rPr>
                <w:rFonts w:eastAsia="新細明體"/>
                <w:lang w:eastAsia="zh-TW"/>
              </w:rPr>
              <w:t>4.6</w:t>
            </w:r>
          </w:p>
        </w:tc>
      </w:tr>
      <w:tr w:rsidR="00CD207C" w:rsidRPr="009D06F8" w14:paraId="651EE3CD" w14:textId="77777777" w:rsidTr="00C96920">
        <w:tc>
          <w:tcPr>
            <w:tcW w:w="928" w:type="pct"/>
            <w:shd w:val="clear" w:color="auto" w:fill="FFFFFF"/>
          </w:tcPr>
          <w:p w14:paraId="6C4DC9AD" w14:textId="73F1B60B" w:rsidR="00CD207C" w:rsidRPr="001879F4" w:rsidRDefault="00CD207C" w:rsidP="00CD207C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</w:t>
            </w:r>
            <w:r>
              <w:rPr>
                <w:rFonts w:eastAsia="新細明體"/>
                <w:lang w:eastAsia="zh-TW"/>
              </w:rPr>
              <w:t>otal reflux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12" w:space="0" w:color="9BBB59" w:themeColor="accent3"/>
              <w:right w:val="nil"/>
            </w:tcBorders>
            <w:shd w:val="clear" w:color="auto" w:fill="auto"/>
            <w:vAlign w:val="center"/>
          </w:tcPr>
          <w:p w14:paraId="7F3EE276" w14:textId="6D2CC682" w:rsidR="00CD207C" w:rsidRPr="00F4262A" w:rsidRDefault="00CD207C" w:rsidP="00CD207C">
            <w:pPr>
              <w:rPr>
                <w:szCs w:val="18"/>
              </w:rPr>
            </w:pPr>
            <w:r w:rsidRPr="00F4262A">
              <w:rPr>
                <w:rFonts w:eastAsia="新細明體"/>
                <w:color w:val="000000"/>
                <w:szCs w:val="18"/>
              </w:rPr>
              <w:t>5272140.3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9BBB59" w:themeColor="accent3"/>
              <w:right w:val="nil"/>
            </w:tcBorders>
            <w:shd w:val="clear" w:color="auto" w:fill="auto"/>
            <w:vAlign w:val="center"/>
          </w:tcPr>
          <w:p w14:paraId="78D6186D" w14:textId="3DA07217" w:rsidR="00CD207C" w:rsidRPr="00F4262A" w:rsidRDefault="00CD207C" w:rsidP="00CD207C">
            <w:pPr>
              <w:rPr>
                <w:szCs w:val="18"/>
              </w:rPr>
            </w:pPr>
            <w:r w:rsidRPr="00F4262A">
              <w:rPr>
                <w:rFonts w:eastAsia="新細明體"/>
                <w:color w:val="000000"/>
                <w:szCs w:val="18"/>
              </w:rPr>
              <w:t>-1761.6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12" w:space="0" w:color="9BBB59" w:themeColor="accent3"/>
              <w:right w:val="nil"/>
            </w:tcBorders>
            <w:shd w:val="clear" w:color="auto" w:fill="auto"/>
            <w:vAlign w:val="center"/>
          </w:tcPr>
          <w:p w14:paraId="48741298" w14:textId="4F45A33D" w:rsidR="00CD207C" w:rsidRPr="00F4262A" w:rsidRDefault="00CD207C" w:rsidP="00CD207C">
            <w:pPr>
              <w:rPr>
                <w:szCs w:val="18"/>
              </w:rPr>
            </w:pPr>
            <w:r w:rsidRPr="00F4262A">
              <w:rPr>
                <w:rFonts w:eastAsia="新細明體"/>
                <w:color w:val="000000"/>
                <w:szCs w:val="18"/>
              </w:rPr>
              <w:t>2058.1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9BBB59" w:themeColor="accent3"/>
              <w:right w:val="nil"/>
            </w:tcBorders>
            <w:shd w:val="clear" w:color="auto" w:fill="auto"/>
            <w:vAlign w:val="center"/>
          </w:tcPr>
          <w:p w14:paraId="2A82C95F" w14:textId="3D942E8E" w:rsidR="00CD207C" w:rsidRPr="00F4262A" w:rsidRDefault="00CD207C" w:rsidP="00CD207C">
            <w:pPr>
              <w:rPr>
                <w:szCs w:val="18"/>
              </w:rPr>
            </w:pPr>
            <w:r w:rsidRPr="00F4262A">
              <w:rPr>
                <w:rFonts w:eastAsia="新細明體"/>
                <w:color w:val="000000"/>
                <w:szCs w:val="18"/>
              </w:rPr>
              <w:t>3819.7</w:t>
            </w:r>
          </w:p>
        </w:tc>
        <w:tc>
          <w:tcPr>
            <w:tcW w:w="1204" w:type="pct"/>
            <w:tcBorders>
              <w:left w:val="nil"/>
            </w:tcBorders>
            <w:shd w:val="clear" w:color="auto" w:fill="FFFFFF"/>
          </w:tcPr>
          <w:p w14:paraId="767408C4" w14:textId="56B85116" w:rsidR="00CD207C" w:rsidRPr="00C96920" w:rsidRDefault="00C96920" w:rsidP="00C96920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1</w:t>
            </w:r>
            <w:r>
              <w:rPr>
                <w:rFonts w:eastAsia="新細明體"/>
                <w:lang w:eastAsia="zh-TW"/>
              </w:rPr>
              <w:t>5.4</w:t>
            </w:r>
          </w:p>
        </w:tc>
      </w:tr>
    </w:tbl>
    <w:p w14:paraId="05DDA5E9" w14:textId="0A80DFF8" w:rsidR="00B859A1" w:rsidRDefault="00B859A1" w:rsidP="00C964AB"/>
    <w:p w14:paraId="3EA694CB" w14:textId="61B35172" w:rsidR="00B613C7" w:rsidRPr="00B613C7" w:rsidRDefault="00B613C7" w:rsidP="00B613C7">
      <w:pPr>
        <w:rPr>
          <w:i/>
        </w:rPr>
      </w:pPr>
      <w:r w:rsidRPr="00B613C7">
        <w:rPr>
          <w:i/>
        </w:rPr>
        <w:lastRenderedPageBreak/>
        <w:t xml:space="preserve">Table </w:t>
      </w:r>
      <w:r>
        <w:rPr>
          <w:i/>
        </w:rPr>
        <w:t>3</w:t>
      </w:r>
      <w:r w:rsidRPr="00B613C7">
        <w:rPr>
          <w:i/>
        </w:rPr>
        <w:t xml:space="preserve">: </w:t>
      </w:r>
      <w:bookmarkStart w:id="18" w:name="_Hlk188541719"/>
      <w:r w:rsidRPr="00B613C7">
        <w:rPr>
          <w:i/>
          <w:lang w:val="en-US"/>
        </w:rPr>
        <w:t xml:space="preserve">Total amounts of off-spec gas and liquid products </w:t>
      </w:r>
      <w:r w:rsidR="00513959">
        <w:rPr>
          <w:i/>
          <w:lang w:val="en-US"/>
        </w:rPr>
        <w:t>produced</w:t>
      </w:r>
      <w:r w:rsidRPr="00B613C7">
        <w:rPr>
          <w:i/>
          <w:lang w:val="en-US"/>
        </w:rPr>
        <w:t xml:space="preserve"> by </w:t>
      </w:r>
      <w:r w:rsidR="00513959">
        <w:rPr>
          <w:i/>
          <w:lang w:val="en-US"/>
        </w:rPr>
        <w:t>using</w:t>
      </w:r>
      <w:r w:rsidRPr="00B613C7">
        <w:rPr>
          <w:i/>
          <w:lang w:val="en-US"/>
        </w:rPr>
        <w:t xml:space="preserve"> alternative </w:t>
      </w:r>
      <w:r w:rsidR="00513959">
        <w:rPr>
          <w:i/>
          <w:lang w:val="en-US"/>
        </w:rPr>
        <w:t>operating procedures</w:t>
      </w:r>
      <w:r w:rsidRPr="00B613C7">
        <w:rPr>
          <w:i/>
          <w:lang w:val="en-US"/>
        </w:rPr>
        <w:t xml:space="preserve"> </w:t>
      </w:r>
      <w:r w:rsidRPr="00B613C7">
        <w:rPr>
          <w:rFonts w:hint="eastAsia"/>
          <w:i/>
          <w:lang w:val="en-US"/>
        </w:rPr>
        <w:t>t</w:t>
      </w:r>
      <w:r w:rsidRPr="00B613C7">
        <w:rPr>
          <w:i/>
          <w:lang w:val="en-US"/>
        </w:rPr>
        <w:t>o mitigate effects of front-end failure(s) within 5 hours</w:t>
      </w:r>
      <w:bookmarkEnd w:id="18"/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9"/>
        <w:gridCol w:w="2930"/>
        <w:gridCol w:w="2928"/>
      </w:tblGrid>
      <w:tr w:rsidR="00513959" w:rsidRPr="00B613C7" w14:paraId="14C18A1C" w14:textId="77777777" w:rsidTr="00513959">
        <w:tc>
          <w:tcPr>
            <w:tcW w:w="166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7A6FD4D" w14:textId="241BFDB7" w:rsidR="00513959" w:rsidRPr="00B613C7" w:rsidRDefault="00513959" w:rsidP="00513959">
            <w:r w:rsidRPr="00BD034A">
              <w:t>Operating strategy</w:t>
            </w:r>
          </w:p>
        </w:tc>
        <w:tc>
          <w:tcPr>
            <w:tcW w:w="166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C50265F" w14:textId="4FA8826E" w:rsidR="00513959" w:rsidRPr="00B613C7" w:rsidRDefault="00513959" w:rsidP="00513959">
            <w:r>
              <w:t>G</w:t>
            </w:r>
            <w:r w:rsidRPr="00BD034A">
              <w:t>aseous off-spec product (lb)</w:t>
            </w:r>
          </w:p>
        </w:tc>
        <w:tc>
          <w:tcPr>
            <w:tcW w:w="166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9DCFB95" w14:textId="42F86348" w:rsidR="00513959" w:rsidRPr="00B613C7" w:rsidRDefault="00513959" w:rsidP="00513959">
            <w:r>
              <w:t>L</w:t>
            </w:r>
            <w:r w:rsidRPr="00BD034A">
              <w:t>iquid off-spec product (lb)</w:t>
            </w:r>
          </w:p>
        </w:tc>
      </w:tr>
      <w:tr w:rsidR="008B134B" w:rsidRPr="00B613C7" w14:paraId="30DA08C7" w14:textId="77777777" w:rsidTr="00513959">
        <w:tc>
          <w:tcPr>
            <w:tcW w:w="1667" w:type="pct"/>
            <w:shd w:val="clear" w:color="auto" w:fill="FFFFFF"/>
          </w:tcPr>
          <w:p w14:paraId="5FDC0ED7" w14:textId="183DEA16" w:rsidR="008B134B" w:rsidRPr="00B613C7" w:rsidRDefault="008B134B" w:rsidP="008B134B">
            <w:r w:rsidRPr="00824CB0">
              <w:t>Tail chase</w:t>
            </w:r>
          </w:p>
        </w:tc>
        <w:tc>
          <w:tcPr>
            <w:tcW w:w="1667" w:type="pct"/>
            <w:shd w:val="clear" w:color="auto" w:fill="FFFFFF"/>
          </w:tcPr>
          <w:p w14:paraId="18323090" w14:textId="1FBEEB5F" w:rsidR="008B134B" w:rsidRPr="00B613C7" w:rsidRDefault="008B134B" w:rsidP="008B134B">
            <w:r w:rsidRPr="009E09F8">
              <w:t>2357078.0</w:t>
            </w:r>
          </w:p>
        </w:tc>
        <w:tc>
          <w:tcPr>
            <w:tcW w:w="1666" w:type="pct"/>
            <w:shd w:val="clear" w:color="auto" w:fill="FFFFFF"/>
          </w:tcPr>
          <w:p w14:paraId="587DD1B6" w14:textId="7A585787" w:rsidR="008B134B" w:rsidRPr="00B613C7" w:rsidRDefault="008B134B" w:rsidP="008B134B">
            <w:r w:rsidRPr="009E09F8">
              <w:t>2511610.6</w:t>
            </w:r>
          </w:p>
        </w:tc>
      </w:tr>
      <w:tr w:rsidR="00513959" w:rsidRPr="00B613C7" w14:paraId="31F61EF5" w14:textId="77777777" w:rsidTr="00513959">
        <w:tc>
          <w:tcPr>
            <w:tcW w:w="1667" w:type="pct"/>
            <w:shd w:val="clear" w:color="auto" w:fill="FFFFFF"/>
          </w:tcPr>
          <w:p w14:paraId="378F9628" w14:textId="1A4A1387" w:rsidR="00513959" w:rsidRPr="00B613C7" w:rsidRDefault="00513959" w:rsidP="00513959">
            <w:r w:rsidRPr="00824CB0">
              <w:t>Total reflux</w:t>
            </w:r>
          </w:p>
        </w:tc>
        <w:tc>
          <w:tcPr>
            <w:tcW w:w="1667" w:type="pct"/>
            <w:shd w:val="clear" w:color="auto" w:fill="FFFFFF"/>
          </w:tcPr>
          <w:p w14:paraId="1A804A89" w14:textId="69F2402D" w:rsidR="00513959" w:rsidRPr="00B613C7" w:rsidRDefault="00513959" w:rsidP="00513959">
            <w:r w:rsidRPr="0030274B">
              <w:t xml:space="preserve">2571283.3 </w:t>
            </w:r>
          </w:p>
        </w:tc>
        <w:tc>
          <w:tcPr>
            <w:tcW w:w="1666" w:type="pct"/>
            <w:shd w:val="clear" w:color="auto" w:fill="FFFFFF"/>
          </w:tcPr>
          <w:p w14:paraId="46B8209E" w14:textId="0D94DBB6" w:rsidR="00513959" w:rsidRPr="00B613C7" w:rsidRDefault="00513959" w:rsidP="00513959">
            <w:r w:rsidRPr="0030274B">
              <w:t xml:space="preserve">2700857.0 </w:t>
            </w:r>
          </w:p>
        </w:tc>
      </w:tr>
    </w:tbl>
    <w:bookmarkEnd w:id="17"/>
    <w:p w14:paraId="47C24B0D" w14:textId="47ADC219" w:rsidR="00C964AB" w:rsidRPr="00C964AB" w:rsidRDefault="00360E08" w:rsidP="00C964AB">
      <w:pPr>
        <w:keepNext/>
        <w:numPr>
          <w:ilvl w:val="2"/>
          <w:numId w:val="1"/>
        </w:numPr>
        <w:tabs>
          <w:tab w:val="clear" w:pos="7100"/>
        </w:tabs>
        <w:suppressAutoHyphens/>
        <w:spacing w:before="120" w:after="120" w:line="240" w:lineRule="auto"/>
        <w:ind w:left="0"/>
        <w:jc w:val="left"/>
        <w:rPr>
          <w:b/>
          <w:lang w:val="en-US"/>
        </w:rPr>
      </w:pPr>
      <w:r>
        <w:rPr>
          <w:b/>
          <w:lang w:val="en-US"/>
        </w:rPr>
        <w:t>Long-term repairs</w:t>
      </w:r>
    </w:p>
    <w:p w14:paraId="03C60C64" w14:textId="3C2B44AB" w:rsidR="00C964AB" w:rsidRPr="00C964AB" w:rsidRDefault="002B6B66" w:rsidP="00C964AB">
      <w:r w:rsidRPr="002B6B66">
        <w:t xml:space="preserve">The analysis presented </w:t>
      </w:r>
      <w:r>
        <w:t>here</w:t>
      </w:r>
      <w:r w:rsidRPr="002B6B66">
        <w:t xml:space="preserve"> was </w:t>
      </w:r>
      <w:r>
        <w:t>performed</w:t>
      </w:r>
      <w:r w:rsidRPr="002B6B66">
        <w:t xml:space="preserve"> </w:t>
      </w:r>
      <w:r>
        <w:t>according to</w:t>
      </w:r>
      <w:r w:rsidRPr="002B6B66">
        <w:t xml:space="preserve"> the prediction that repair lasts 15 hours.</w:t>
      </w:r>
      <w:r w:rsidR="00BC2891">
        <w:t xml:space="preserve"> </w:t>
      </w:r>
      <w:r w:rsidR="00BC2891" w:rsidRPr="00BC2891">
        <w:t xml:space="preserve">The performances of the two proposed strategies are again compared in Tables </w:t>
      </w:r>
      <w:r w:rsidR="00BC2891">
        <w:t>4 and 5</w:t>
      </w:r>
      <w:r w:rsidR="00BC2891" w:rsidRPr="00BC2891">
        <w:t xml:space="preserve"> according to </w:t>
      </w:r>
      <w:r w:rsidR="00BC2891">
        <w:t>GHG</w:t>
      </w:r>
      <w:r w:rsidR="00BC2891" w:rsidRPr="00BC2891">
        <w:t xml:space="preserve"> emission levels and energy consumption amounts.</w:t>
      </w:r>
      <w:r w:rsidR="008E5273" w:rsidRPr="008E5273">
        <w:t xml:space="preserve"> </w:t>
      </w:r>
      <w:r w:rsidR="008E5273">
        <w:t>Thus</w:t>
      </w:r>
      <w:r w:rsidR="008E5273" w:rsidRPr="008E5273">
        <w:t xml:space="preserve">, it seems that the total-reflux procedure performs better in terms of </w:t>
      </w:r>
      <w:r w:rsidR="00E3754D">
        <w:t xml:space="preserve">overall </w:t>
      </w:r>
      <w:r w:rsidR="008E5273">
        <w:t xml:space="preserve">GHG </w:t>
      </w:r>
      <w:r w:rsidR="008E5273" w:rsidRPr="008E5273">
        <w:t xml:space="preserve">emission abatement capability if the </w:t>
      </w:r>
      <w:r w:rsidR="008E5273">
        <w:t>upstream</w:t>
      </w:r>
      <w:r w:rsidR="008E5273" w:rsidRPr="008E5273">
        <w:t xml:space="preserve"> failure(s) last</w:t>
      </w:r>
      <w:r w:rsidR="008E5273">
        <w:t>s</w:t>
      </w:r>
      <w:r w:rsidR="008E5273" w:rsidRPr="008E5273">
        <w:t xml:space="preserve"> in a relatively long</w:t>
      </w:r>
      <w:r w:rsidR="008E5273">
        <w:t xml:space="preserve"> </w:t>
      </w:r>
      <w:r w:rsidR="008E5273" w:rsidRPr="008E5273">
        <w:t>period</w:t>
      </w:r>
      <w:r w:rsidR="00292393">
        <w:t xml:space="preserve"> of time</w:t>
      </w:r>
      <w:bookmarkStart w:id="19" w:name="_GoBack"/>
      <w:bookmarkEnd w:id="19"/>
      <w:r w:rsidR="008E5273" w:rsidRPr="008E5273">
        <w:t>.</w:t>
      </w:r>
    </w:p>
    <w:p w14:paraId="7037C99A" w14:textId="77777777" w:rsidR="000E5E98" w:rsidRPr="000E5E98" w:rsidRDefault="000E5E98" w:rsidP="000E5E98"/>
    <w:p w14:paraId="273E08BD" w14:textId="138906E5" w:rsidR="000E5E98" w:rsidRPr="000E5E98" w:rsidRDefault="000E5E98" w:rsidP="000E5E98">
      <w:pPr>
        <w:rPr>
          <w:i/>
        </w:rPr>
      </w:pPr>
      <w:r w:rsidRPr="000E5E98">
        <w:rPr>
          <w:i/>
        </w:rPr>
        <w:t xml:space="preserve">Table </w:t>
      </w:r>
      <w:r>
        <w:rPr>
          <w:i/>
        </w:rPr>
        <w:t>4</w:t>
      </w:r>
      <w:r w:rsidRPr="000E5E98">
        <w:rPr>
          <w:i/>
        </w:rPr>
        <w:t xml:space="preserve">: </w:t>
      </w:r>
      <w:r w:rsidRPr="000E5E98">
        <w:rPr>
          <w:i/>
          <w:lang w:val="en-US"/>
        </w:rPr>
        <w:t xml:space="preserve">Total amounts of off-spec products and consumed energy caused by using alternative operating procedures </w:t>
      </w:r>
      <w:r w:rsidRPr="000E5E98">
        <w:rPr>
          <w:rFonts w:hint="eastAsia"/>
          <w:i/>
          <w:lang w:val="en-US"/>
        </w:rPr>
        <w:t>t</w:t>
      </w:r>
      <w:r w:rsidRPr="000E5E98">
        <w:rPr>
          <w:i/>
          <w:lang w:val="en-US"/>
        </w:rPr>
        <w:t xml:space="preserve">o mitigate effects of front-end failure(s) in a naphtha cracking plant within </w:t>
      </w:r>
      <w:r>
        <w:rPr>
          <w:i/>
          <w:lang w:val="en-US"/>
        </w:rPr>
        <w:t>1</w:t>
      </w:r>
      <w:r w:rsidRPr="000E5E98">
        <w:rPr>
          <w:i/>
          <w:lang w:val="en-US"/>
        </w:rPr>
        <w:t>5 hours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3"/>
        <w:gridCol w:w="2722"/>
        <w:gridCol w:w="970"/>
        <w:gridCol w:w="740"/>
        <w:gridCol w:w="606"/>
        <w:gridCol w:w="2116"/>
      </w:tblGrid>
      <w:tr w:rsidR="000E5E98" w:rsidRPr="000E5E98" w14:paraId="1AA9E8AD" w14:textId="77777777" w:rsidTr="006343E1">
        <w:trPr>
          <w:trHeight w:val="115"/>
        </w:trPr>
        <w:tc>
          <w:tcPr>
            <w:tcW w:w="929" w:type="pct"/>
            <w:vMerge w:val="restart"/>
            <w:tcBorders>
              <w:top w:val="single" w:sz="12" w:space="0" w:color="008000"/>
            </w:tcBorders>
            <w:shd w:val="clear" w:color="auto" w:fill="FFFFFF"/>
          </w:tcPr>
          <w:p w14:paraId="11E214CD" w14:textId="77777777" w:rsidR="000E5E98" w:rsidRPr="000E5E98" w:rsidRDefault="000E5E98" w:rsidP="000E5E98">
            <w:pPr>
              <w:rPr>
                <w:rFonts w:eastAsia="新細明體"/>
                <w:lang w:eastAsia="zh-TW"/>
              </w:rPr>
            </w:pPr>
            <w:r w:rsidRPr="000E5E98">
              <w:rPr>
                <w:rFonts w:eastAsia="新細明體" w:hint="eastAsia"/>
                <w:lang w:eastAsia="zh-TW"/>
              </w:rPr>
              <w:t>O</w:t>
            </w:r>
            <w:r w:rsidRPr="000E5E98">
              <w:rPr>
                <w:rFonts w:eastAsia="新細明體"/>
                <w:lang w:eastAsia="zh-TW"/>
              </w:rPr>
              <w:t>perating strategy</w:t>
            </w:r>
          </w:p>
        </w:tc>
        <w:tc>
          <w:tcPr>
            <w:tcW w:w="1549" w:type="pct"/>
            <w:vMerge w:val="restart"/>
            <w:tcBorders>
              <w:top w:val="single" w:sz="12" w:space="0" w:color="008000"/>
            </w:tcBorders>
            <w:shd w:val="clear" w:color="auto" w:fill="FFFFFF"/>
          </w:tcPr>
          <w:p w14:paraId="2944C3A8" w14:textId="77777777" w:rsidR="000E5E98" w:rsidRPr="000E5E98" w:rsidRDefault="000E5E98" w:rsidP="000E5E98">
            <w:pPr>
              <w:rPr>
                <w:rFonts w:eastAsia="新細明體"/>
                <w:lang w:eastAsia="zh-TW"/>
              </w:rPr>
            </w:pPr>
            <w:r w:rsidRPr="000E5E98">
              <w:rPr>
                <w:rFonts w:eastAsia="新細明體" w:hint="eastAsia"/>
                <w:lang w:eastAsia="zh-TW"/>
              </w:rPr>
              <w:t>A</w:t>
            </w:r>
            <w:r w:rsidRPr="000E5E98">
              <w:rPr>
                <w:rFonts w:eastAsia="新細明體"/>
                <w:lang w:eastAsia="zh-TW"/>
              </w:rPr>
              <w:t>mount of off-spec product (lb)</w:t>
            </w:r>
          </w:p>
        </w:tc>
        <w:tc>
          <w:tcPr>
            <w:tcW w:w="1318" w:type="pct"/>
            <w:gridSpan w:val="3"/>
            <w:tcBorders>
              <w:top w:val="single" w:sz="12" w:space="0" w:color="008000"/>
              <w:bottom w:val="single" w:sz="4" w:space="0" w:color="9BBB59" w:themeColor="accent3"/>
            </w:tcBorders>
            <w:shd w:val="clear" w:color="auto" w:fill="FFFFFF"/>
          </w:tcPr>
          <w:p w14:paraId="4E12CCF0" w14:textId="77777777" w:rsidR="000E5E98" w:rsidRPr="000E5E98" w:rsidRDefault="000E5E98" w:rsidP="000E5E98">
            <w:r w:rsidRPr="000E5E98">
              <w:rPr>
                <w:lang w:val="en-US"/>
              </w:rPr>
              <w:t>Energy consumed (</w:t>
            </w:r>
            <w:proofErr w:type="spellStart"/>
            <w:r w:rsidRPr="000E5E98">
              <w:rPr>
                <w:lang w:val="en-US"/>
              </w:rPr>
              <w:t>MBtu</w:t>
            </w:r>
            <w:proofErr w:type="spellEnd"/>
            <w:r w:rsidRPr="000E5E98">
              <w:rPr>
                <w:lang w:val="en-US"/>
              </w:rPr>
              <w:t>)</w:t>
            </w:r>
          </w:p>
        </w:tc>
        <w:tc>
          <w:tcPr>
            <w:tcW w:w="1204" w:type="pct"/>
            <w:vMerge w:val="restart"/>
            <w:tcBorders>
              <w:top w:val="single" w:sz="12" w:space="0" w:color="008000"/>
              <w:bottom w:val="single" w:sz="12" w:space="0" w:color="9BBB59" w:themeColor="accent3"/>
            </w:tcBorders>
            <w:shd w:val="clear" w:color="auto" w:fill="FFFFFF"/>
          </w:tcPr>
          <w:p w14:paraId="424CE2E9" w14:textId="77777777" w:rsidR="000E5E98" w:rsidRPr="000E5E98" w:rsidRDefault="000E5E98" w:rsidP="000E5E98">
            <w:pPr>
              <w:rPr>
                <w:rFonts w:eastAsia="新細明體"/>
                <w:lang w:eastAsia="zh-TW"/>
              </w:rPr>
            </w:pPr>
            <w:r w:rsidRPr="000E5E98">
              <w:rPr>
                <w:rFonts w:eastAsia="新細明體" w:hint="eastAsia"/>
                <w:lang w:eastAsia="zh-TW"/>
              </w:rPr>
              <w:t>T</w:t>
            </w:r>
            <w:r w:rsidRPr="000E5E98">
              <w:rPr>
                <w:rFonts w:eastAsia="新細明體"/>
                <w:lang w:eastAsia="zh-TW"/>
              </w:rPr>
              <w:t>otal operation time (hr)</w:t>
            </w:r>
          </w:p>
        </w:tc>
      </w:tr>
      <w:tr w:rsidR="000E5E98" w:rsidRPr="000E5E98" w14:paraId="67D235BD" w14:textId="77777777" w:rsidTr="006343E1">
        <w:trPr>
          <w:trHeight w:val="115"/>
        </w:trPr>
        <w:tc>
          <w:tcPr>
            <w:tcW w:w="929" w:type="pct"/>
            <w:vMerge/>
            <w:tcBorders>
              <w:bottom w:val="single" w:sz="4" w:space="0" w:color="9BBB59" w:themeColor="accent3"/>
            </w:tcBorders>
            <w:shd w:val="clear" w:color="auto" w:fill="FFFFFF"/>
          </w:tcPr>
          <w:p w14:paraId="034FFB22" w14:textId="77777777" w:rsidR="000E5E98" w:rsidRPr="000E5E98" w:rsidRDefault="000E5E98" w:rsidP="000E5E98"/>
        </w:tc>
        <w:tc>
          <w:tcPr>
            <w:tcW w:w="1549" w:type="pct"/>
            <w:vMerge/>
            <w:tcBorders>
              <w:bottom w:val="single" w:sz="4" w:space="0" w:color="9BBB59" w:themeColor="accent3"/>
            </w:tcBorders>
            <w:shd w:val="clear" w:color="auto" w:fill="FFFFFF"/>
          </w:tcPr>
          <w:p w14:paraId="2E62095D" w14:textId="77777777" w:rsidR="000E5E98" w:rsidRPr="000E5E98" w:rsidRDefault="000E5E98" w:rsidP="000E5E98"/>
        </w:tc>
        <w:tc>
          <w:tcPr>
            <w:tcW w:w="552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vAlign w:val="center"/>
          </w:tcPr>
          <w:p w14:paraId="020E0F9B" w14:textId="77777777" w:rsidR="000E5E98" w:rsidRPr="000E5E98" w:rsidRDefault="000E5E98" w:rsidP="000E5E98">
            <w:pPr>
              <w:rPr>
                <w:szCs w:val="18"/>
              </w:rPr>
            </w:pPr>
            <w:r w:rsidRPr="000E5E98">
              <w:rPr>
                <w:rFonts w:eastAsia="新細明體"/>
                <w:color w:val="000000"/>
                <w:szCs w:val="18"/>
              </w:rPr>
              <w:t>Condenser</w:t>
            </w:r>
          </w:p>
        </w:tc>
        <w:tc>
          <w:tcPr>
            <w:tcW w:w="421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vAlign w:val="center"/>
          </w:tcPr>
          <w:p w14:paraId="7079571E" w14:textId="77777777" w:rsidR="000E5E98" w:rsidRPr="000E5E98" w:rsidRDefault="000E5E98" w:rsidP="000E5E98">
            <w:pPr>
              <w:rPr>
                <w:szCs w:val="18"/>
              </w:rPr>
            </w:pPr>
            <w:r w:rsidRPr="000E5E98">
              <w:rPr>
                <w:rFonts w:eastAsia="新細明體"/>
                <w:color w:val="000000"/>
                <w:szCs w:val="18"/>
              </w:rPr>
              <w:t>Reboiler</w:t>
            </w:r>
          </w:p>
        </w:tc>
        <w:tc>
          <w:tcPr>
            <w:tcW w:w="345" w:type="pct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vAlign w:val="center"/>
          </w:tcPr>
          <w:p w14:paraId="7A100160" w14:textId="77777777" w:rsidR="000E5E98" w:rsidRPr="000E5E98" w:rsidRDefault="000E5E98" w:rsidP="000E5E98">
            <w:pPr>
              <w:rPr>
                <w:szCs w:val="18"/>
              </w:rPr>
            </w:pPr>
            <w:r w:rsidRPr="000E5E98">
              <w:rPr>
                <w:rFonts w:eastAsia="新細明體"/>
                <w:color w:val="000000"/>
                <w:szCs w:val="18"/>
              </w:rPr>
              <w:t>Total</w:t>
            </w:r>
          </w:p>
        </w:tc>
        <w:tc>
          <w:tcPr>
            <w:tcW w:w="1204" w:type="pct"/>
            <w:vMerge/>
            <w:tcBorders>
              <w:top w:val="nil"/>
              <w:left w:val="nil"/>
              <w:bottom w:val="single" w:sz="4" w:space="0" w:color="9BBB59" w:themeColor="accent3"/>
            </w:tcBorders>
            <w:shd w:val="clear" w:color="auto" w:fill="FFFFFF"/>
          </w:tcPr>
          <w:p w14:paraId="5311AACC" w14:textId="77777777" w:rsidR="000E5E98" w:rsidRPr="000E5E98" w:rsidRDefault="000E5E98" w:rsidP="000E5E98">
            <w:pPr>
              <w:rPr>
                <w:rFonts w:eastAsia="新細明體"/>
                <w:lang w:eastAsia="zh-TW"/>
              </w:rPr>
            </w:pPr>
          </w:p>
        </w:tc>
      </w:tr>
      <w:tr w:rsidR="006343E1" w:rsidRPr="000E5E98" w14:paraId="1D3A2F58" w14:textId="77777777" w:rsidTr="006343E1">
        <w:tc>
          <w:tcPr>
            <w:tcW w:w="929" w:type="pct"/>
            <w:tcBorders>
              <w:top w:val="single" w:sz="4" w:space="0" w:color="9BBB59" w:themeColor="accent3"/>
            </w:tcBorders>
            <w:shd w:val="clear" w:color="auto" w:fill="FFFFFF"/>
          </w:tcPr>
          <w:p w14:paraId="06648781" w14:textId="77777777" w:rsidR="006343E1" w:rsidRPr="000E5E98" w:rsidRDefault="006343E1" w:rsidP="006343E1">
            <w:pPr>
              <w:rPr>
                <w:rFonts w:eastAsia="新細明體"/>
                <w:lang w:eastAsia="zh-TW"/>
              </w:rPr>
            </w:pPr>
            <w:r w:rsidRPr="000E5E98">
              <w:rPr>
                <w:rFonts w:eastAsia="新細明體" w:hint="eastAsia"/>
                <w:lang w:eastAsia="zh-TW"/>
              </w:rPr>
              <w:t>T</w:t>
            </w:r>
            <w:r w:rsidRPr="000E5E98">
              <w:rPr>
                <w:rFonts w:eastAsia="新細明體"/>
                <w:lang w:eastAsia="zh-TW"/>
              </w:rPr>
              <w:t>ail chase</w:t>
            </w:r>
          </w:p>
        </w:tc>
        <w:tc>
          <w:tcPr>
            <w:tcW w:w="1549" w:type="pct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</w:tcPr>
          <w:p w14:paraId="59AF0C4B" w14:textId="5CCE20CC" w:rsidR="006343E1" w:rsidRPr="000E5E98" w:rsidRDefault="006343E1" w:rsidP="006343E1">
            <w:pPr>
              <w:rPr>
                <w:szCs w:val="18"/>
              </w:rPr>
            </w:pPr>
            <w:r w:rsidRPr="00E77915">
              <w:t xml:space="preserve">5689497.0 </w:t>
            </w:r>
          </w:p>
        </w:tc>
        <w:tc>
          <w:tcPr>
            <w:tcW w:w="552" w:type="pct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</w:tcPr>
          <w:p w14:paraId="2B778E6F" w14:textId="5B60CC22" w:rsidR="006343E1" w:rsidRPr="000E5E98" w:rsidRDefault="006343E1" w:rsidP="006343E1">
            <w:pPr>
              <w:rPr>
                <w:szCs w:val="18"/>
              </w:rPr>
            </w:pPr>
            <w:r w:rsidRPr="00E77915">
              <w:t>-3175.6</w:t>
            </w:r>
          </w:p>
        </w:tc>
        <w:tc>
          <w:tcPr>
            <w:tcW w:w="421" w:type="pct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</w:tcPr>
          <w:p w14:paraId="24A01576" w14:textId="04B6B8C0" w:rsidR="006343E1" w:rsidRPr="000E5E98" w:rsidRDefault="006343E1" w:rsidP="006343E1">
            <w:pPr>
              <w:rPr>
                <w:szCs w:val="18"/>
              </w:rPr>
            </w:pPr>
            <w:r w:rsidRPr="00E77915">
              <w:t>3988.9</w:t>
            </w:r>
          </w:p>
        </w:tc>
        <w:tc>
          <w:tcPr>
            <w:tcW w:w="345" w:type="pct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</w:tcPr>
          <w:p w14:paraId="2C64213E" w14:textId="04BB151B" w:rsidR="006343E1" w:rsidRPr="000E5E98" w:rsidRDefault="006343E1" w:rsidP="006343E1">
            <w:pPr>
              <w:rPr>
                <w:szCs w:val="18"/>
              </w:rPr>
            </w:pPr>
            <w:r w:rsidRPr="00E77915">
              <w:t>7164.5</w:t>
            </w:r>
          </w:p>
        </w:tc>
        <w:tc>
          <w:tcPr>
            <w:tcW w:w="1204" w:type="pct"/>
            <w:tcBorders>
              <w:top w:val="single" w:sz="4" w:space="0" w:color="9BBB59" w:themeColor="accent3"/>
              <w:left w:val="nil"/>
            </w:tcBorders>
            <w:shd w:val="clear" w:color="auto" w:fill="FFFFFF"/>
          </w:tcPr>
          <w:p w14:paraId="185C050B" w14:textId="6C1CAB80" w:rsidR="006343E1" w:rsidRPr="000E5E98" w:rsidRDefault="006343E1" w:rsidP="006343E1">
            <w:pPr>
              <w:jc w:val="center"/>
              <w:rPr>
                <w:rFonts w:eastAsia="新細明體"/>
                <w:lang w:eastAsia="zh-TW"/>
              </w:rPr>
            </w:pPr>
            <w:r w:rsidRPr="00E77915">
              <w:t xml:space="preserve">26.8 </w:t>
            </w:r>
          </w:p>
        </w:tc>
      </w:tr>
      <w:tr w:rsidR="006343E1" w:rsidRPr="000E5E98" w14:paraId="5F4EC834" w14:textId="77777777" w:rsidTr="006B1238">
        <w:tc>
          <w:tcPr>
            <w:tcW w:w="929" w:type="pct"/>
            <w:shd w:val="clear" w:color="auto" w:fill="FFFFFF"/>
          </w:tcPr>
          <w:p w14:paraId="5C370D39" w14:textId="77777777" w:rsidR="006343E1" w:rsidRPr="000E5E98" w:rsidRDefault="006343E1" w:rsidP="006343E1">
            <w:pPr>
              <w:rPr>
                <w:rFonts w:eastAsia="新細明體"/>
                <w:lang w:eastAsia="zh-TW"/>
              </w:rPr>
            </w:pPr>
            <w:r w:rsidRPr="000E5E98">
              <w:rPr>
                <w:rFonts w:eastAsia="新細明體" w:hint="eastAsia"/>
                <w:lang w:eastAsia="zh-TW"/>
              </w:rPr>
              <w:t>T</w:t>
            </w:r>
            <w:r w:rsidRPr="000E5E98">
              <w:rPr>
                <w:rFonts w:eastAsia="新細明體"/>
                <w:lang w:eastAsia="zh-TW"/>
              </w:rPr>
              <w:t>otal reflux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12" w:space="0" w:color="9BBB59" w:themeColor="accent3"/>
              <w:right w:val="nil"/>
            </w:tcBorders>
            <w:shd w:val="clear" w:color="auto" w:fill="auto"/>
          </w:tcPr>
          <w:p w14:paraId="47031DC5" w14:textId="4EBF2A12" w:rsidR="006343E1" w:rsidRPr="000E5E98" w:rsidRDefault="006343E1" w:rsidP="006343E1">
            <w:pPr>
              <w:rPr>
                <w:szCs w:val="18"/>
              </w:rPr>
            </w:pPr>
            <w:r w:rsidRPr="00E82726">
              <w:t xml:space="preserve">6201383.6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9BBB59" w:themeColor="accent3"/>
              <w:right w:val="nil"/>
            </w:tcBorders>
            <w:shd w:val="clear" w:color="auto" w:fill="auto"/>
          </w:tcPr>
          <w:p w14:paraId="5D99F524" w14:textId="08FCA3ED" w:rsidR="006343E1" w:rsidRPr="000E5E98" w:rsidRDefault="006343E1" w:rsidP="006343E1">
            <w:pPr>
              <w:rPr>
                <w:szCs w:val="18"/>
              </w:rPr>
            </w:pPr>
            <w:r w:rsidRPr="00E82726">
              <w:t>-2812.0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12" w:space="0" w:color="9BBB59" w:themeColor="accent3"/>
              <w:right w:val="nil"/>
            </w:tcBorders>
            <w:shd w:val="clear" w:color="auto" w:fill="auto"/>
          </w:tcPr>
          <w:p w14:paraId="765E5977" w14:textId="523EFDB0" w:rsidR="006343E1" w:rsidRPr="000E5E98" w:rsidRDefault="006343E1" w:rsidP="006343E1">
            <w:pPr>
              <w:rPr>
                <w:szCs w:val="18"/>
              </w:rPr>
            </w:pPr>
            <w:r w:rsidRPr="00E82726">
              <w:t>3158.3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9BBB59" w:themeColor="accent3"/>
              <w:right w:val="nil"/>
            </w:tcBorders>
            <w:shd w:val="clear" w:color="auto" w:fill="auto"/>
          </w:tcPr>
          <w:p w14:paraId="1C9B1FF2" w14:textId="22D8D590" w:rsidR="006343E1" w:rsidRPr="000E5E98" w:rsidRDefault="006343E1" w:rsidP="006343E1">
            <w:pPr>
              <w:rPr>
                <w:szCs w:val="18"/>
              </w:rPr>
            </w:pPr>
            <w:r w:rsidRPr="00E82726">
              <w:t>5970.3</w:t>
            </w:r>
          </w:p>
        </w:tc>
        <w:tc>
          <w:tcPr>
            <w:tcW w:w="1204" w:type="pct"/>
            <w:tcBorders>
              <w:left w:val="nil"/>
            </w:tcBorders>
            <w:shd w:val="clear" w:color="auto" w:fill="FFFFFF"/>
          </w:tcPr>
          <w:p w14:paraId="0625482E" w14:textId="69B1BEAA" w:rsidR="006343E1" w:rsidRPr="000E5E98" w:rsidRDefault="006343E1" w:rsidP="006343E1">
            <w:pPr>
              <w:jc w:val="center"/>
              <w:rPr>
                <w:rFonts w:eastAsia="新細明體"/>
                <w:lang w:eastAsia="zh-TW"/>
              </w:rPr>
            </w:pPr>
            <w:r w:rsidRPr="00E82726">
              <w:t xml:space="preserve">27.0 </w:t>
            </w:r>
          </w:p>
        </w:tc>
      </w:tr>
    </w:tbl>
    <w:p w14:paraId="6C635545" w14:textId="5841EC26" w:rsidR="000E5E98" w:rsidRDefault="000E5E98" w:rsidP="000E5E98"/>
    <w:p w14:paraId="2D3254A3" w14:textId="77777777" w:rsidR="007741CB" w:rsidRPr="000E5E98" w:rsidRDefault="007741CB" w:rsidP="007741CB">
      <w:pPr>
        <w:rPr>
          <w:i/>
        </w:rPr>
      </w:pPr>
      <w:r w:rsidRPr="000E5E98">
        <w:rPr>
          <w:i/>
        </w:rPr>
        <w:t xml:space="preserve">Table </w:t>
      </w:r>
      <w:r>
        <w:rPr>
          <w:i/>
        </w:rPr>
        <w:t>5</w:t>
      </w:r>
      <w:r w:rsidRPr="000E5E98">
        <w:rPr>
          <w:i/>
        </w:rPr>
        <w:t xml:space="preserve">: </w:t>
      </w:r>
      <w:r w:rsidRPr="000E5E98">
        <w:rPr>
          <w:i/>
          <w:lang w:val="en-US"/>
        </w:rPr>
        <w:t xml:space="preserve">Total amounts of off-spec gas and liquid products produced by using alternative operating procedures </w:t>
      </w:r>
      <w:r w:rsidRPr="000E5E98">
        <w:rPr>
          <w:rFonts w:hint="eastAsia"/>
          <w:i/>
          <w:lang w:val="en-US"/>
        </w:rPr>
        <w:t>t</w:t>
      </w:r>
      <w:r w:rsidRPr="000E5E98">
        <w:rPr>
          <w:i/>
          <w:lang w:val="en-US"/>
        </w:rPr>
        <w:t xml:space="preserve">o mitigate effects of front-end failure(s) within </w:t>
      </w:r>
      <w:r>
        <w:rPr>
          <w:i/>
          <w:lang w:val="en-US"/>
        </w:rPr>
        <w:t>1</w:t>
      </w:r>
      <w:r w:rsidRPr="000E5E98">
        <w:rPr>
          <w:i/>
          <w:lang w:val="en-US"/>
        </w:rPr>
        <w:t>5 hours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9"/>
        <w:gridCol w:w="2930"/>
        <w:gridCol w:w="2928"/>
      </w:tblGrid>
      <w:tr w:rsidR="007741CB" w:rsidRPr="000E5E98" w14:paraId="6BB47BFA" w14:textId="77777777" w:rsidTr="006B1238">
        <w:tc>
          <w:tcPr>
            <w:tcW w:w="166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EE5C881" w14:textId="77777777" w:rsidR="007741CB" w:rsidRPr="000E5E98" w:rsidRDefault="007741CB" w:rsidP="006B1238">
            <w:r w:rsidRPr="000E5E98">
              <w:t>Operating strategy</w:t>
            </w:r>
          </w:p>
        </w:tc>
        <w:tc>
          <w:tcPr>
            <w:tcW w:w="166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049EE27" w14:textId="77777777" w:rsidR="007741CB" w:rsidRPr="000E5E98" w:rsidRDefault="007741CB" w:rsidP="006B1238">
            <w:r w:rsidRPr="000E5E98">
              <w:t>Gaseous off-spec product (lb)</w:t>
            </w:r>
          </w:p>
        </w:tc>
        <w:tc>
          <w:tcPr>
            <w:tcW w:w="166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F424095" w14:textId="77777777" w:rsidR="007741CB" w:rsidRPr="000E5E98" w:rsidRDefault="007741CB" w:rsidP="006B1238">
            <w:r w:rsidRPr="000E5E98">
              <w:t>Liquid off-spec product (lb)</w:t>
            </w:r>
          </w:p>
        </w:tc>
      </w:tr>
      <w:tr w:rsidR="007741CB" w:rsidRPr="000E5E98" w14:paraId="67A49A0F" w14:textId="77777777" w:rsidTr="006B1238">
        <w:tc>
          <w:tcPr>
            <w:tcW w:w="1667" w:type="pct"/>
            <w:shd w:val="clear" w:color="auto" w:fill="FFFFFF"/>
          </w:tcPr>
          <w:p w14:paraId="06051C96" w14:textId="77777777" w:rsidR="007741CB" w:rsidRPr="000E5E98" w:rsidRDefault="007741CB" w:rsidP="006B1238">
            <w:r w:rsidRPr="000E5E98">
              <w:t>Tail chase</w:t>
            </w:r>
          </w:p>
        </w:tc>
        <w:tc>
          <w:tcPr>
            <w:tcW w:w="1667" w:type="pct"/>
            <w:shd w:val="clear" w:color="auto" w:fill="FFFFFF"/>
          </w:tcPr>
          <w:p w14:paraId="0D26563A" w14:textId="77777777" w:rsidR="007741CB" w:rsidRPr="000E5E98" w:rsidRDefault="007741CB" w:rsidP="006B1238">
            <w:r w:rsidRPr="009F3B07">
              <w:t xml:space="preserve">2995042.0 </w:t>
            </w:r>
          </w:p>
        </w:tc>
        <w:tc>
          <w:tcPr>
            <w:tcW w:w="1666" w:type="pct"/>
            <w:shd w:val="clear" w:color="auto" w:fill="FFFFFF"/>
          </w:tcPr>
          <w:p w14:paraId="12C6973C" w14:textId="77777777" w:rsidR="007741CB" w:rsidRPr="000E5E98" w:rsidRDefault="007741CB" w:rsidP="006B1238">
            <w:r w:rsidRPr="009F3B07">
              <w:t xml:space="preserve">2694454.9 </w:t>
            </w:r>
          </w:p>
        </w:tc>
      </w:tr>
      <w:tr w:rsidR="007741CB" w:rsidRPr="000E5E98" w14:paraId="7175C9BD" w14:textId="77777777" w:rsidTr="006B1238">
        <w:tc>
          <w:tcPr>
            <w:tcW w:w="1667" w:type="pct"/>
            <w:shd w:val="clear" w:color="auto" w:fill="FFFFFF"/>
          </w:tcPr>
          <w:p w14:paraId="30B7134F" w14:textId="77777777" w:rsidR="007741CB" w:rsidRPr="000E5E98" w:rsidRDefault="007741CB" w:rsidP="006B1238">
            <w:r w:rsidRPr="000E5E98">
              <w:t>Total reflux</w:t>
            </w:r>
          </w:p>
        </w:tc>
        <w:tc>
          <w:tcPr>
            <w:tcW w:w="1667" w:type="pct"/>
            <w:shd w:val="clear" w:color="auto" w:fill="FFFFFF"/>
          </w:tcPr>
          <w:p w14:paraId="7A6C79B7" w14:textId="77777777" w:rsidR="007741CB" w:rsidRPr="000E5E98" w:rsidRDefault="007741CB" w:rsidP="006B1238">
            <w:r w:rsidRPr="0086778A">
              <w:t xml:space="preserve">3010887.2 </w:t>
            </w:r>
          </w:p>
        </w:tc>
        <w:tc>
          <w:tcPr>
            <w:tcW w:w="1666" w:type="pct"/>
            <w:shd w:val="clear" w:color="auto" w:fill="FFFFFF"/>
          </w:tcPr>
          <w:p w14:paraId="2E864E47" w14:textId="77777777" w:rsidR="007741CB" w:rsidRPr="000E5E98" w:rsidRDefault="007741CB" w:rsidP="006B1238">
            <w:r w:rsidRPr="0086778A">
              <w:t xml:space="preserve">3190496.4 </w:t>
            </w:r>
          </w:p>
        </w:tc>
      </w:tr>
    </w:tbl>
    <w:p w14:paraId="740D4132" w14:textId="77777777" w:rsidR="007741CB" w:rsidRPr="000E5E98" w:rsidRDefault="007741CB" w:rsidP="000E5E98"/>
    <w:p w14:paraId="56D55F50" w14:textId="77777777" w:rsidR="000714A6" w:rsidRPr="000714A6" w:rsidRDefault="000714A6" w:rsidP="000714A6">
      <w:pPr>
        <w:pStyle w:val="CETHeading1"/>
      </w:pPr>
      <w:r w:rsidRPr="00B57B36">
        <w:t>Conclusions</w:t>
      </w:r>
    </w:p>
    <w:p w14:paraId="1DEF14C8" w14:textId="46FEE5D4" w:rsidR="000714A6" w:rsidRDefault="00DB7918" w:rsidP="00600535">
      <w:pPr>
        <w:pStyle w:val="CETBodytext"/>
        <w:rPr>
          <w:lang w:val="en-GB"/>
        </w:rPr>
      </w:pPr>
      <w:r w:rsidRPr="00DB7918">
        <w:rPr>
          <w:lang w:val="en-GB"/>
        </w:rPr>
        <w:t>Both tail-chase and total</w:t>
      </w:r>
      <w:r>
        <w:rPr>
          <w:lang w:val="en-GB"/>
        </w:rPr>
        <w:t>-</w:t>
      </w:r>
      <w:r w:rsidRPr="00DB7918">
        <w:rPr>
          <w:lang w:val="en-GB"/>
        </w:rPr>
        <w:t xml:space="preserve">reflux operations have been demonstrated in </w:t>
      </w:r>
      <w:r w:rsidR="00FA708E">
        <w:rPr>
          <w:lang w:val="en-GB"/>
        </w:rPr>
        <w:t>extensive</w:t>
      </w:r>
      <w:r w:rsidRPr="00DB7918">
        <w:rPr>
          <w:lang w:val="en-GB"/>
        </w:rPr>
        <w:t xml:space="preserve"> simulation studies to be potentially </w:t>
      </w:r>
      <w:r>
        <w:rPr>
          <w:lang w:val="en-GB"/>
        </w:rPr>
        <w:t>effective</w:t>
      </w:r>
      <w:r w:rsidRPr="00DB7918">
        <w:rPr>
          <w:lang w:val="en-GB"/>
        </w:rPr>
        <w:t xml:space="preserve"> for </w:t>
      </w:r>
      <w:r w:rsidR="00FA708E">
        <w:rPr>
          <w:lang w:val="en-GB"/>
        </w:rPr>
        <w:t>eliminating GHG emission</w:t>
      </w:r>
      <w:r w:rsidRPr="00DB7918">
        <w:rPr>
          <w:lang w:val="en-GB"/>
        </w:rPr>
        <w:t xml:space="preserve"> </w:t>
      </w:r>
      <w:r w:rsidR="00FA708E">
        <w:rPr>
          <w:lang w:val="en-GB"/>
        </w:rPr>
        <w:t>caused by</w:t>
      </w:r>
      <w:r w:rsidRPr="00DB7918">
        <w:rPr>
          <w:lang w:val="en-GB"/>
        </w:rPr>
        <w:t xml:space="preserve"> the front-end failure(s) in a naphtha cracking plant</w:t>
      </w:r>
      <w:r w:rsidR="000714A6">
        <w:rPr>
          <w:lang w:val="en-GB"/>
        </w:rPr>
        <w:t>.</w:t>
      </w:r>
      <w:r w:rsidR="00FA708E">
        <w:rPr>
          <w:lang w:val="en-GB"/>
        </w:rPr>
        <w:t xml:space="preserve"> </w:t>
      </w:r>
      <w:r w:rsidR="00FA708E" w:rsidRPr="00FA708E">
        <w:rPr>
          <w:lang w:val="en-GB"/>
        </w:rPr>
        <w:t xml:space="preserve">The simulation results suggest that </w:t>
      </w:r>
      <w:r w:rsidR="00FA708E">
        <w:rPr>
          <w:lang w:val="en-GB"/>
        </w:rPr>
        <w:t>the former</w:t>
      </w:r>
      <w:r w:rsidR="00FA708E" w:rsidRPr="00FA708E">
        <w:rPr>
          <w:lang w:val="en-GB"/>
        </w:rPr>
        <w:t xml:space="preserve"> is preferred for the short-term response needs and the </w:t>
      </w:r>
      <w:r w:rsidR="00FA708E">
        <w:rPr>
          <w:lang w:val="en-GB"/>
        </w:rPr>
        <w:t>latter</w:t>
      </w:r>
      <w:r w:rsidR="00FA708E" w:rsidRPr="00FA708E">
        <w:rPr>
          <w:lang w:val="en-GB"/>
        </w:rPr>
        <w:t xml:space="preserve"> is </w:t>
      </w:r>
      <w:r w:rsidR="00FA708E">
        <w:rPr>
          <w:lang w:val="en-GB"/>
        </w:rPr>
        <w:t>useful</w:t>
      </w:r>
      <w:r w:rsidR="00FA708E" w:rsidRPr="00FA708E">
        <w:rPr>
          <w:lang w:val="en-GB"/>
        </w:rPr>
        <w:t xml:space="preserve"> in</w:t>
      </w:r>
      <w:r w:rsidR="001009E9">
        <w:rPr>
          <w:lang w:val="en-GB"/>
        </w:rPr>
        <w:t xml:space="preserve"> </w:t>
      </w:r>
      <w:r w:rsidR="00FA708E" w:rsidRPr="00FA708E">
        <w:rPr>
          <w:lang w:val="en-GB"/>
        </w:rPr>
        <w:t>long-term scenario</w:t>
      </w:r>
      <w:r w:rsidR="00FA708E">
        <w:rPr>
          <w:lang w:val="en-GB"/>
        </w:rPr>
        <w:t>s</w:t>
      </w:r>
      <w:r w:rsidR="00FA708E" w:rsidRPr="00FA708E">
        <w:rPr>
          <w:lang w:val="en-GB"/>
        </w:rPr>
        <w:t>.</w:t>
      </w:r>
      <w:r w:rsidR="005B00DE" w:rsidRPr="005B00DE">
        <w:t xml:space="preserve"> </w:t>
      </w:r>
      <w:r w:rsidR="001009E9">
        <w:t>Notice especially that t</w:t>
      </w:r>
      <w:r w:rsidR="005B00DE" w:rsidRPr="005B00DE">
        <w:rPr>
          <w:lang w:val="en-GB"/>
        </w:rPr>
        <w:t>h</w:t>
      </w:r>
      <w:r w:rsidR="005B00DE">
        <w:rPr>
          <w:lang w:val="en-GB"/>
        </w:rPr>
        <w:t>e heuristic</w:t>
      </w:r>
      <w:r w:rsidR="005B00DE" w:rsidRPr="005B00DE">
        <w:rPr>
          <w:lang w:val="en-GB"/>
        </w:rPr>
        <w:t xml:space="preserve"> approach </w:t>
      </w:r>
      <w:r w:rsidR="00E76446">
        <w:rPr>
          <w:lang w:val="en-GB"/>
        </w:rPr>
        <w:t xml:space="preserve">proposed here </w:t>
      </w:r>
      <w:r w:rsidR="005B00DE" w:rsidRPr="005B00DE">
        <w:rPr>
          <w:lang w:val="en-GB"/>
        </w:rPr>
        <w:t xml:space="preserve">may be extended to operate the back end of any other chemical plant with the same process structure after malfunction(s) develops in the front end. This generalizable feature is </w:t>
      </w:r>
      <w:r w:rsidR="004059CC">
        <w:rPr>
          <w:lang w:val="en-GB"/>
        </w:rPr>
        <w:t xml:space="preserve">considered to be </w:t>
      </w:r>
      <w:r w:rsidR="005B00DE" w:rsidRPr="005B00DE">
        <w:rPr>
          <w:lang w:val="en-GB"/>
        </w:rPr>
        <w:t>the most useful contribution of the present study.</w:t>
      </w:r>
    </w:p>
    <w:p w14:paraId="528F33B3" w14:textId="77777777" w:rsidR="00992A94" w:rsidRDefault="00992A94" w:rsidP="00600535">
      <w:pPr>
        <w:pStyle w:val="CETBodytext"/>
        <w:rPr>
          <w:lang w:val="en-GB"/>
        </w:rPr>
      </w:pPr>
    </w:p>
    <w:p w14:paraId="109395F4" w14:textId="72A10003" w:rsidR="00600535" w:rsidRPr="00B57B36" w:rsidRDefault="00600535" w:rsidP="002901AE">
      <w:pPr>
        <w:pStyle w:val="CETReference"/>
      </w:pPr>
      <w:r w:rsidRPr="00B57B36">
        <w:t>References</w:t>
      </w:r>
    </w:p>
    <w:p w14:paraId="5A7FD72C" w14:textId="35AE51C1" w:rsidR="00CD34DB" w:rsidRDefault="00CD34DB" w:rsidP="006B4888">
      <w:pPr>
        <w:pStyle w:val="CETReferencetext"/>
      </w:pPr>
      <w:r w:rsidRPr="00CD34DB">
        <w:t xml:space="preserve">Chen, </w:t>
      </w:r>
      <w:r>
        <w:t>G.W</w:t>
      </w:r>
      <w:r w:rsidRPr="00CD34DB">
        <w:t>.</w:t>
      </w:r>
      <w:r w:rsidR="00C46676">
        <w:t>, 2024,</w:t>
      </w:r>
      <w:r w:rsidRPr="00CD34DB">
        <w:t xml:space="preserve"> </w:t>
      </w:r>
      <w:r>
        <w:t>Shutdown</w:t>
      </w:r>
      <w:r w:rsidRPr="00CD34DB">
        <w:t xml:space="preserve"> and </w:t>
      </w:r>
      <w:r>
        <w:t>e</w:t>
      </w:r>
      <w:r w:rsidRPr="00CD34DB">
        <w:t xml:space="preserve">mergency </w:t>
      </w:r>
      <w:r>
        <w:t>r</w:t>
      </w:r>
      <w:r w:rsidRPr="00CD34DB">
        <w:t xml:space="preserve">esponse </w:t>
      </w:r>
      <w:r>
        <w:t>p</w:t>
      </w:r>
      <w:r w:rsidRPr="00CD34DB">
        <w:t>rocedure</w:t>
      </w:r>
      <w:r>
        <w:t>s</w:t>
      </w:r>
      <w:r w:rsidRPr="00CD34DB">
        <w:t xml:space="preserve"> for </w:t>
      </w:r>
      <w:r>
        <w:t>separation sequences in chemical plants, MS Thesis,</w:t>
      </w:r>
      <w:r w:rsidRPr="00CD34DB">
        <w:t xml:space="preserve"> National Cheng Kung University, Tainan, Taiwan.</w:t>
      </w:r>
    </w:p>
    <w:p w14:paraId="4F3BB5FE" w14:textId="593A8933" w:rsidR="00CC274F" w:rsidRDefault="00CC274F" w:rsidP="006B4888">
      <w:pPr>
        <w:pStyle w:val="CETReferencetext"/>
      </w:pPr>
      <w:proofErr w:type="spellStart"/>
      <w:r w:rsidRPr="00CC274F">
        <w:t>Chenevert</w:t>
      </w:r>
      <w:proofErr w:type="spellEnd"/>
      <w:r w:rsidRPr="00CC274F">
        <w:t>, D.</w:t>
      </w:r>
      <w:r>
        <w:t>,</w:t>
      </w:r>
      <w:r w:rsidRPr="00CC274F">
        <w:t xml:space="preserve"> Harry, C.J.</w:t>
      </w:r>
      <w:r>
        <w:t>,</w:t>
      </w:r>
      <w:r w:rsidRPr="00CC274F">
        <w:t xml:space="preserve"> </w:t>
      </w:r>
      <w:proofErr w:type="spellStart"/>
      <w:r w:rsidRPr="00CC274F">
        <w:t>Unterbrink</w:t>
      </w:r>
      <w:proofErr w:type="spellEnd"/>
      <w:r w:rsidRPr="00CC274F">
        <w:t>, B.</w:t>
      </w:r>
      <w:r>
        <w:t>,</w:t>
      </w:r>
      <w:r w:rsidRPr="00CC274F">
        <w:t xml:space="preserve"> Cain, M.</w:t>
      </w:r>
      <w:r w:rsidR="00267D10">
        <w:t>,</w:t>
      </w:r>
      <w:r w:rsidR="00576709">
        <w:t xml:space="preserve"> </w:t>
      </w:r>
      <w:r w:rsidR="00267D10">
        <w:t>2005,</w:t>
      </w:r>
      <w:r w:rsidRPr="00CC274F">
        <w:t xml:space="preserve"> Flare </w:t>
      </w:r>
      <w:r w:rsidR="00267D10">
        <w:t>m</w:t>
      </w:r>
      <w:r w:rsidRPr="00CC274F">
        <w:t xml:space="preserve">inimization </w:t>
      </w:r>
      <w:r w:rsidR="00267D10">
        <w:t>p</w:t>
      </w:r>
      <w:r w:rsidRPr="00CC274F">
        <w:t xml:space="preserve">ractices </w:t>
      </w:r>
      <w:r w:rsidR="00267D10">
        <w:t>i</w:t>
      </w:r>
      <w:r w:rsidRPr="00CC274F">
        <w:t xml:space="preserve">mprove </w:t>
      </w:r>
      <w:r w:rsidR="00267D10">
        <w:t>o</w:t>
      </w:r>
      <w:r w:rsidRPr="00CC274F">
        <w:t xml:space="preserve">lefins </w:t>
      </w:r>
      <w:r w:rsidR="00267D10">
        <w:t>p</w:t>
      </w:r>
      <w:r w:rsidRPr="00CC274F">
        <w:t xml:space="preserve">lant </w:t>
      </w:r>
      <w:r w:rsidR="00267D10">
        <w:t>s</w:t>
      </w:r>
      <w:r w:rsidRPr="00CC274F">
        <w:t>tart</w:t>
      </w:r>
      <w:r w:rsidR="00C46676">
        <w:t>-</w:t>
      </w:r>
      <w:r w:rsidRPr="00CC274F">
        <w:t xml:space="preserve">ups, </w:t>
      </w:r>
      <w:r w:rsidR="00267D10">
        <w:t>s</w:t>
      </w:r>
      <w:r w:rsidRPr="00CC274F">
        <w:t>hutdowns</w:t>
      </w:r>
      <w:r w:rsidR="00267D10">
        <w:t>,</w:t>
      </w:r>
      <w:r w:rsidRPr="00CC274F">
        <w:t xml:space="preserve"> Oil &amp; Gas Journal, 103(33), 54-60.</w:t>
      </w:r>
    </w:p>
    <w:p w14:paraId="290A4BF9" w14:textId="79E51042" w:rsidR="00600535" w:rsidRDefault="00576709" w:rsidP="006C48E3">
      <w:pPr>
        <w:pStyle w:val="CETReferencetext"/>
      </w:pPr>
      <w:proofErr w:type="spellStart"/>
      <w:r w:rsidRPr="00576709">
        <w:t>Gani</w:t>
      </w:r>
      <w:proofErr w:type="spellEnd"/>
      <w:r w:rsidRPr="00576709">
        <w:t>, R.</w:t>
      </w:r>
      <w:r>
        <w:t>,</w:t>
      </w:r>
      <w:r w:rsidRPr="00576709">
        <w:t xml:space="preserve"> Jepsen, T.S.</w:t>
      </w:r>
      <w:r>
        <w:t>,</w:t>
      </w:r>
      <w:r w:rsidRPr="00576709">
        <w:t xml:space="preserve"> Perez-Cisneros, E.S.A</w:t>
      </w:r>
      <w:r>
        <w:t>, 1998,</w:t>
      </w:r>
      <w:r w:rsidRPr="00576709">
        <w:t xml:space="preserve"> Generalized </w:t>
      </w:r>
      <w:r w:rsidR="006C48E3">
        <w:t>r</w:t>
      </w:r>
      <w:r w:rsidRPr="00576709">
        <w:t xml:space="preserve">eactive </w:t>
      </w:r>
      <w:r w:rsidR="006C48E3">
        <w:t>s</w:t>
      </w:r>
      <w:r w:rsidRPr="00576709">
        <w:t xml:space="preserve">eparation </w:t>
      </w:r>
      <w:r w:rsidR="006C48E3">
        <w:t>u</w:t>
      </w:r>
      <w:r w:rsidRPr="00576709">
        <w:t xml:space="preserve">nit </w:t>
      </w:r>
      <w:r w:rsidR="006C48E3">
        <w:t>m</w:t>
      </w:r>
      <w:r w:rsidRPr="00576709">
        <w:t xml:space="preserve">odel - </w:t>
      </w:r>
      <w:r w:rsidR="006C48E3">
        <w:t>m</w:t>
      </w:r>
      <w:r w:rsidRPr="00576709">
        <w:t xml:space="preserve">odelling and </w:t>
      </w:r>
      <w:r w:rsidR="006C48E3">
        <w:t>s</w:t>
      </w:r>
      <w:r w:rsidRPr="00576709">
        <w:t xml:space="preserve">imulation </w:t>
      </w:r>
      <w:r w:rsidR="006C48E3">
        <w:t>a</w:t>
      </w:r>
      <w:r w:rsidRPr="00576709">
        <w:t>spects</w:t>
      </w:r>
      <w:r w:rsidR="006C48E3">
        <w:t>,</w:t>
      </w:r>
      <w:r w:rsidRPr="00576709">
        <w:t xml:space="preserve"> Computers &amp; Chemical Engineering, 22, S363-S370.</w:t>
      </w:r>
    </w:p>
    <w:p w14:paraId="63ADADA9" w14:textId="49C9849C" w:rsidR="00A40C97" w:rsidRDefault="00A40C97" w:rsidP="006C48E3">
      <w:pPr>
        <w:pStyle w:val="CETReferencetext"/>
      </w:pPr>
      <w:r w:rsidRPr="00A40C97">
        <w:t>Ge, S.</w:t>
      </w:r>
      <w:r>
        <w:t>,</w:t>
      </w:r>
      <w:r w:rsidRPr="00A40C97">
        <w:t xml:space="preserve"> Xu, Y.</w:t>
      </w:r>
      <w:r>
        <w:t>,</w:t>
      </w:r>
      <w:r w:rsidRPr="00A40C97">
        <w:t xml:space="preserve"> Wang, S.</w:t>
      </w:r>
      <w:r>
        <w:t>,</w:t>
      </w:r>
      <w:r w:rsidRPr="00A40C97">
        <w:t xml:space="preserve"> Xu, Q.</w:t>
      </w:r>
      <w:r>
        <w:t>,</w:t>
      </w:r>
      <w:r w:rsidRPr="00A40C97">
        <w:t xml:space="preserve"> Ho, T.</w:t>
      </w:r>
      <w:r>
        <w:t xml:space="preserve">, 2021, </w:t>
      </w:r>
      <w:r w:rsidRPr="00A40C97">
        <w:t xml:space="preserve">A </w:t>
      </w:r>
      <w:r>
        <w:t>w</w:t>
      </w:r>
      <w:r w:rsidRPr="00A40C97">
        <w:t xml:space="preserve">in-win </w:t>
      </w:r>
      <w:r>
        <w:t>s</w:t>
      </w:r>
      <w:r w:rsidRPr="00A40C97">
        <w:t xml:space="preserve">trategy for </w:t>
      </w:r>
      <w:r>
        <w:t>si</w:t>
      </w:r>
      <w:r w:rsidRPr="00A40C97">
        <w:t xml:space="preserve">multaneous </w:t>
      </w:r>
      <w:r>
        <w:t>a</w:t>
      </w:r>
      <w:r w:rsidRPr="00A40C97">
        <w:t xml:space="preserve">ir-quality </w:t>
      </w:r>
      <w:r>
        <w:t>b</w:t>
      </w:r>
      <w:r w:rsidRPr="00A40C97">
        <w:t xml:space="preserve">enign and </w:t>
      </w:r>
      <w:r>
        <w:t>p</w:t>
      </w:r>
      <w:r w:rsidRPr="00A40C97">
        <w:t xml:space="preserve">rofitable </w:t>
      </w:r>
      <w:r>
        <w:t>e</w:t>
      </w:r>
      <w:r w:rsidRPr="00A40C97">
        <w:t xml:space="preserve">mission </w:t>
      </w:r>
      <w:r>
        <w:t>r</w:t>
      </w:r>
      <w:r w:rsidRPr="00A40C97">
        <w:t xml:space="preserve">eduction during </w:t>
      </w:r>
      <w:r>
        <w:t>c</w:t>
      </w:r>
      <w:r w:rsidRPr="00A40C97">
        <w:t xml:space="preserve">hemical </w:t>
      </w:r>
      <w:r>
        <w:t>p</w:t>
      </w:r>
      <w:r w:rsidRPr="00A40C97">
        <w:t xml:space="preserve">lant </w:t>
      </w:r>
      <w:r>
        <w:t>s</w:t>
      </w:r>
      <w:r w:rsidRPr="00A40C97">
        <w:t xml:space="preserve">hutdown </w:t>
      </w:r>
      <w:r>
        <w:t>o</w:t>
      </w:r>
      <w:r w:rsidRPr="00A40C97">
        <w:t>perations. Process Safety and Environmental Protection, 147, 1185-1192.</w:t>
      </w:r>
    </w:p>
    <w:p w14:paraId="7D1CDFC2" w14:textId="6EEC2371" w:rsidR="006C48E3" w:rsidRDefault="00135B12" w:rsidP="00C46676">
      <w:pPr>
        <w:pStyle w:val="CETReferencetext"/>
      </w:pPr>
      <w:r w:rsidRPr="00135B12">
        <w:t>Murphy, C.F.</w:t>
      </w:r>
      <w:r>
        <w:t>,</w:t>
      </w:r>
      <w:r w:rsidRPr="00135B12">
        <w:t xml:space="preserve"> Allen, D.T.</w:t>
      </w:r>
      <w:r>
        <w:t>, 2005,</w:t>
      </w:r>
      <w:r w:rsidRPr="00135B12">
        <w:t xml:space="preserve"> Hydrocarbon </w:t>
      </w:r>
      <w:r>
        <w:t>e</w:t>
      </w:r>
      <w:r w:rsidRPr="00135B12">
        <w:t xml:space="preserve">missions from </w:t>
      </w:r>
      <w:r>
        <w:t>i</w:t>
      </w:r>
      <w:r w:rsidRPr="00135B12">
        <w:t xml:space="preserve">ndustrial </w:t>
      </w:r>
      <w:r>
        <w:t>r</w:t>
      </w:r>
      <w:r w:rsidRPr="00135B12">
        <w:t xml:space="preserve">elease </w:t>
      </w:r>
      <w:r>
        <w:t>e</w:t>
      </w:r>
      <w:r w:rsidRPr="00135B12">
        <w:t xml:space="preserve">vents in the Houston-Galveston </w:t>
      </w:r>
      <w:r>
        <w:t>a</w:t>
      </w:r>
      <w:r w:rsidRPr="00135B12">
        <w:t xml:space="preserve">rea and </w:t>
      </w:r>
      <w:r>
        <w:t>t</w:t>
      </w:r>
      <w:r w:rsidRPr="00135B12">
        <w:t xml:space="preserve">heir </w:t>
      </w:r>
      <w:r>
        <w:t>i</w:t>
      </w:r>
      <w:r w:rsidRPr="00135B12">
        <w:t xml:space="preserve">mpact on </w:t>
      </w:r>
      <w:r>
        <w:t>o</w:t>
      </w:r>
      <w:r w:rsidRPr="00135B12">
        <w:t xml:space="preserve">zone </w:t>
      </w:r>
      <w:r>
        <w:t>f</w:t>
      </w:r>
      <w:r w:rsidRPr="00135B12">
        <w:t>ormation</w:t>
      </w:r>
      <w:r>
        <w:t>,</w:t>
      </w:r>
      <w:r w:rsidRPr="00135B12">
        <w:t xml:space="preserve"> Atmospheric Environment</w:t>
      </w:r>
      <w:r>
        <w:t>,</w:t>
      </w:r>
      <w:r w:rsidRPr="00135B12">
        <w:t xml:space="preserve"> 39(21), 3785-3798.</w:t>
      </w:r>
    </w:p>
    <w:p w14:paraId="11E54C2F" w14:textId="4750FFCB" w:rsidR="006C48E3" w:rsidRPr="006B4888" w:rsidRDefault="006C48E3" w:rsidP="006C48E3">
      <w:pPr>
        <w:pStyle w:val="CETReferencetext"/>
      </w:pPr>
      <w:proofErr w:type="spellStart"/>
      <w:r w:rsidRPr="006C48E3">
        <w:t>Reepmeyer</w:t>
      </w:r>
      <w:proofErr w:type="spellEnd"/>
      <w:r w:rsidRPr="006C48E3">
        <w:t>, F.</w:t>
      </w:r>
      <w:r>
        <w:t>,</w:t>
      </w:r>
      <w:r w:rsidRPr="006C48E3">
        <w:t xml:space="preserve"> </w:t>
      </w:r>
      <w:proofErr w:type="spellStart"/>
      <w:r w:rsidRPr="006C48E3">
        <w:t>Repke</w:t>
      </w:r>
      <w:proofErr w:type="spellEnd"/>
      <w:r w:rsidRPr="006C48E3">
        <w:t>, J.U.</w:t>
      </w:r>
      <w:r>
        <w:t>,</w:t>
      </w:r>
      <w:r w:rsidRPr="006C48E3">
        <w:t xml:space="preserve"> </w:t>
      </w:r>
      <w:proofErr w:type="spellStart"/>
      <w:r w:rsidRPr="006C48E3">
        <w:t>Wozny</w:t>
      </w:r>
      <w:proofErr w:type="spellEnd"/>
      <w:r w:rsidRPr="006C48E3">
        <w:t>, G.</w:t>
      </w:r>
      <w:r>
        <w:t>, 2003,</w:t>
      </w:r>
      <w:r w:rsidRPr="006C48E3">
        <w:t xml:space="preserve"> Analysis of the </w:t>
      </w:r>
      <w:r>
        <w:t>s</w:t>
      </w:r>
      <w:r w:rsidRPr="006C48E3">
        <w:t>tart</w:t>
      </w:r>
      <w:r w:rsidRPr="006C48E3">
        <w:rPr>
          <w:rFonts w:ascii="微軟正黑體" w:eastAsia="微軟正黑體" w:hAnsi="微軟正黑體" w:cs="微軟正黑體" w:hint="eastAsia"/>
        </w:rPr>
        <w:t>‐</w:t>
      </w:r>
      <w:r w:rsidRPr="006C48E3">
        <w:t xml:space="preserve">up </w:t>
      </w:r>
      <w:r>
        <w:t>p</w:t>
      </w:r>
      <w:r w:rsidRPr="006C48E3">
        <w:t xml:space="preserve">rocess for </w:t>
      </w:r>
      <w:r>
        <w:t>r</w:t>
      </w:r>
      <w:r w:rsidRPr="006C48E3">
        <w:t xml:space="preserve">eactive </w:t>
      </w:r>
      <w:r>
        <w:t>d</w:t>
      </w:r>
      <w:r w:rsidRPr="006C48E3">
        <w:t>istillation</w:t>
      </w:r>
      <w:r>
        <w:t>,</w:t>
      </w:r>
      <w:r w:rsidRPr="006C48E3">
        <w:t xml:space="preserve"> </w:t>
      </w:r>
      <w:r>
        <w:t>C</w:t>
      </w:r>
      <w:r w:rsidRPr="006C48E3">
        <w:t>hemical Engineering &amp; Technolog</w:t>
      </w:r>
      <w:r>
        <w:t>y</w:t>
      </w:r>
      <w:r w:rsidRPr="006C48E3">
        <w:t>, 26(1), 81-86.</w:t>
      </w:r>
    </w:p>
    <w:p w14:paraId="2FA25EFF" w14:textId="4280C0B5" w:rsidR="00992A94" w:rsidRDefault="00992A94" w:rsidP="00E65B91">
      <w:pPr>
        <w:pStyle w:val="CETReferencetext"/>
      </w:pPr>
      <w:r w:rsidRPr="00992A94">
        <w:t>Wang, Z.</w:t>
      </w:r>
      <w:r>
        <w:t>,</w:t>
      </w:r>
      <w:r w:rsidRPr="00992A94">
        <w:t xml:space="preserve"> Xu, Q.</w:t>
      </w:r>
      <w:r>
        <w:t>,</w:t>
      </w:r>
      <w:r w:rsidRPr="00992A94">
        <w:t xml:space="preserve"> Ho, T.C.</w:t>
      </w:r>
      <w:r>
        <w:t>, 2014,</w:t>
      </w:r>
      <w:r w:rsidRPr="00992A94">
        <w:t xml:space="preserve"> Emission </w:t>
      </w:r>
      <w:r>
        <w:t>s</w:t>
      </w:r>
      <w:r w:rsidRPr="00992A94">
        <w:t xml:space="preserve">ource </w:t>
      </w:r>
      <w:r>
        <w:t>c</w:t>
      </w:r>
      <w:r w:rsidRPr="00992A94">
        <w:t xml:space="preserve">haracterization during an </w:t>
      </w:r>
      <w:r>
        <w:t>e</w:t>
      </w:r>
      <w:r w:rsidRPr="00992A94">
        <w:t xml:space="preserve">thylene </w:t>
      </w:r>
      <w:r>
        <w:t>p</w:t>
      </w:r>
      <w:r w:rsidRPr="00992A94">
        <w:t xml:space="preserve">lant </w:t>
      </w:r>
      <w:r>
        <w:t>s</w:t>
      </w:r>
      <w:r w:rsidRPr="00992A94">
        <w:t>hutdown</w:t>
      </w:r>
      <w:r>
        <w:t xml:space="preserve">, </w:t>
      </w:r>
      <w:r w:rsidRPr="00992A94">
        <w:t>Chemical Engineering &amp; Technology, 37(7), 1170-1180.</w:t>
      </w:r>
    </w:p>
    <w:p w14:paraId="606DAA4E" w14:textId="1353D30B" w:rsidR="00992A94" w:rsidRPr="00992A94" w:rsidRDefault="00992A94" w:rsidP="00E65B91">
      <w:pPr>
        <w:pStyle w:val="CETReferencetext"/>
      </w:pPr>
      <w:r w:rsidRPr="00992A94">
        <w:t>Wang, S.</w:t>
      </w:r>
      <w:r>
        <w:t>,</w:t>
      </w:r>
      <w:r w:rsidRPr="00992A94">
        <w:t xml:space="preserve"> Zhang, J.</w:t>
      </w:r>
      <w:r>
        <w:t>,</w:t>
      </w:r>
      <w:r w:rsidRPr="00992A94">
        <w:t xml:space="preserve"> Wang, S.</w:t>
      </w:r>
      <w:r>
        <w:t>,</w:t>
      </w:r>
      <w:r w:rsidRPr="00992A94">
        <w:t xml:space="preserve"> Xu, Q.</w:t>
      </w:r>
      <w:r>
        <w:t>, 2016,</w:t>
      </w:r>
      <w:r w:rsidRPr="00992A94">
        <w:t xml:space="preserve"> Dynamic </w:t>
      </w:r>
      <w:r>
        <w:t>s</w:t>
      </w:r>
      <w:r w:rsidRPr="00992A94">
        <w:t xml:space="preserve">imulation for </w:t>
      </w:r>
      <w:r>
        <w:t>f</w:t>
      </w:r>
      <w:r w:rsidRPr="00992A94">
        <w:t xml:space="preserve">lare </w:t>
      </w:r>
      <w:r>
        <w:t>m</w:t>
      </w:r>
      <w:r w:rsidRPr="00992A94">
        <w:t xml:space="preserve">inimization in </w:t>
      </w:r>
      <w:r>
        <w:t>c</w:t>
      </w:r>
      <w:r w:rsidRPr="00992A94">
        <w:t xml:space="preserve">hemical </w:t>
      </w:r>
      <w:r>
        <w:t>p</w:t>
      </w:r>
      <w:r w:rsidRPr="00992A94">
        <w:t xml:space="preserve">rocess </w:t>
      </w:r>
      <w:r>
        <w:t>i</w:t>
      </w:r>
      <w:r w:rsidRPr="00992A94">
        <w:t xml:space="preserve">ndustry under </w:t>
      </w:r>
      <w:r>
        <w:t>a</w:t>
      </w:r>
      <w:r w:rsidRPr="00992A94">
        <w:t xml:space="preserve">bnormal </w:t>
      </w:r>
      <w:r>
        <w:t>o</w:t>
      </w:r>
      <w:r w:rsidRPr="00992A94">
        <w:t>perations</w:t>
      </w:r>
      <w:r>
        <w:t>,</w:t>
      </w:r>
      <w:r w:rsidRPr="00992A94">
        <w:t xml:space="preserve"> Current Opinion in Chemical Engineering, 14, 26-34.</w:t>
      </w:r>
    </w:p>
    <w:p w14:paraId="19C4FC68" w14:textId="308B5E34" w:rsidR="004628D2" w:rsidRDefault="007F7888" w:rsidP="007D081F">
      <w:pPr>
        <w:pStyle w:val="CETReferencetext"/>
      </w:pPr>
      <w:r w:rsidRPr="007F7888">
        <w:t>Xu, Y.</w:t>
      </w:r>
      <w:r>
        <w:t>,</w:t>
      </w:r>
      <w:r w:rsidRPr="007F7888">
        <w:t xml:space="preserve"> </w:t>
      </w:r>
      <w:proofErr w:type="spellStart"/>
      <w:r w:rsidRPr="007F7888">
        <w:t>Dinh</w:t>
      </w:r>
      <w:proofErr w:type="spellEnd"/>
      <w:r w:rsidRPr="007F7888">
        <w:t>, H.</w:t>
      </w:r>
      <w:r>
        <w:t xml:space="preserve">, </w:t>
      </w:r>
      <w:r w:rsidRPr="007F7888">
        <w:t>Xu, Q.</w:t>
      </w:r>
      <w:r>
        <w:t>,</w:t>
      </w:r>
      <w:r w:rsidRPr="007F7888">
        <w:t xml:space="preserve"> </w:t>
      </w:r>
      <w:proofErr w:type="spellStart"/>
      <w:r w:rsidRPr="007F7888">
        <w:t>Eljack</w:t>
      </w:r>
      <w:proofErr w:type="spellEnd"/>
      <w:r w:rsidRPr="007F7888">
        <w:t>, F.T.</w:t>
      </w:r>
      <w:r>
        <w:t>,</w:t>
      </w:r>
      <w:r w:rsidRPr="007F7888">
        <w:t xml:space="preserve"> El-</w:t>
      </w:r>
      <w:proofErr w:type="spellStart"/>
      <w:r w:rsidRPr="007F7888">
        <w:t>Halwagi</w:t>
      </w:r>
      <w:proofErr w:type="spellEnd"/>
      <w:r w:rsidRPr="007F7888">
        <w:t>, M.M.</w:t>
      </w:r>
      <w:r>
        <w:t>, 2020,</w:t>
      </w:r>
      <w:r w:rsidRPr="007F7888">
        <w:t xml:space="preserve"> Flare </w:t>
      </w:r>
      <w:r>
        <w:t>m</w:t>
      </w:r>
      <w:r w:rsidRPr="007F7888">
        <w:t xml:space="preserve">inimization for an </w:t>
      </w:r>
      <w:r>
        <w:t>o</w:t>
      </w:r>
      <w:r w:rsidRPr="007F7888">
        <w:t xml:space="preserve">lefin </w:t>
      </w:r>
      <w:r>
        <w:t>p</w:t>
      </w:r>
      <w:r w:rsidRPr="007F7888">
        <w:t xml:space="preserve">lant </w:t>
      </w:r>
      <w:r>
        <w:t>s</w:t>
      </w:r>
      <w:r w:rsidRPr="007F7888">
        <w:t xml:space="preserve">hutdown via </w:t>
      </w:r>
      <w:r>
        <w:t>p</w:t>
      </w:r>
      <w:r w:rsidRPr="007F7888">
        <w:t xml:space="preserve">lant-wide </w:t>
      </w:r>
      <w:r>
        <w:t>d</w:t>
      </w:r>
      <w:r w:rsidRPr="007F7888">
        <w:t xml:space="preserve">ynamic </w:t>
      </w:r>
      <w:r>
        <w:t>s</w:t>
      </w:r>
      <w:r w:rsidRPr="007F7888">
        <w:t>imulation</w:t>
      </w:r>
      <w:r>
        <w:t>,</w:t>
      </w:r>
      <w:r w:rsidRPr="007F7888">
        <w:t xml:space="preserve"> Journal of Cleaner Production, 254, 120129.</w:t>
      </w:r>
    </w:p>
    <w:sectPr w:rsidR="004628D2" w:rsidSect="00DC73E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FF302" w14:textId="77777777" w:rsidR="003269CB" w:rsidRDefault="003269CB" w:rsidP="004F5E36">
      <w:r>
        <w:separator/>
      </w:r>
    </w:p>
  </w:endnote>
  <w:endnote w:type="continuationSeparator" w:id="0">
    <w:p w14:paraId="6D3031B5" w14:textId="77777777" w:rsidR="003269CB" w:rsidRDefault="003269C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6C10" w14:textId="77777777" w:rsidR="003269CB" w:rsidRDefault="003269CB" w:rsidP="004F5E36">
      <w:r>
        <w:separator/>
      </w:r>
    </w:p>
  </w:footnote>
  <w:footnote w:type="continuationSeparator" w:id="0">
    <w:p w14:paraId="5622BB3D" w14:textId="77777777" w:rsidR="003269CB" w:rsidRDefault="003269CB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67ADF"/>
    <w:multiLevelType w:val="hybridMultilevel"/>
    <w:tmpl w:val="6D84C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266B64"/>
    <w:multiLevelType w:val="hybridMultilevel"/>
    <w:tmpl w:val="059214A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425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D59BF"/>
    <w:multiLevelType w:val="hybridMultilevel"/>
    <w:tmpl w:val="7062BE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C04255B"/>
    <w:multiLevelType w:val="hybridMultilevel"/>
    <w:tmpl w:val="F5963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CCE3FA0"/>
    <w:multiLevelType w:val="hybridMultilevel"/>
    <w:tmpl w:val="169CDC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4"/>
  </w:num>
  <w:num w:numId="14">
    <w:abstractNumId w:val="20"/>
  </w:num>
  <w:num w:numId="15">
    <w:abstractNumId w:val="22"/>
  </w:num>
  <w:num w:numId="16">
    <w:abstractNumId w:val="21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1"/>
  </w:num>
  <w:num w:numId="24">
    <w:abstractNumId w:val="23"/>
  </w:num>
  <w:num w:numId="25">
    <w:abstractNumId w:val="25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872"/>
    <w:rsid w:val="000027C0"/>
    <w:rsid w:val="000052FB"/>
    <w:rsid w:val="00005A19"/>
    <w:rsid w:val="0001093C"/>
    <w:rsid w:val="000117CB"/>
    <w:rsid w:val="000144CE"/>
    <w:rsid w:val="00015BEE"/>
    <w:rsid w:val="0003148D"/>
    <w:rsid w:val="00031EEC"/>
    <w:rsid w:val="000412B3"/>
    <w:rsid w:val="00051566"/>
    <w:rsid w:val="000562A9"/>
    <w:rsid w:val="00062A9A"/>
    <w:rsid w:val="00065058"/>
    <w:rsid w:val="00065D17"/>
    <w:rsid w:val="000714A6"/>
    <w:rsid w:val="00074C2C"/>
    <w:rsid w:val="00086C39"/>
    <w:rsid w:val="0009177E"/>
    <w:rsid w:val="000A03B2"/>
    <w:rsid w:val="000D0268"/>
    <w:rsid w:val="000D34BE"/>
    <w:rsid w:val="000E0B3C"/>
    <w:rsid w:val="000E102F"/>
    <w:rsid w:val="000E323F"/>
    <w:rsid w:val="000E36F1"/>
    <w:rsid w:val="000E3A73"/>
    <w:rsid w:val="000E414A"/>
    <w:rsid w:val="000E5E98"/>
    <w:rsid w:val="000E75FD"/>
    <w:rsid w:val="000F093C"/>
    <w:rsid w:val="000F787B"/>
    <w:rsid w:val="0010039E"/>
    <w:rsid w:val="001009E9"/>
    <w:rsid w:val="00116653"/>
    <w:rsid w:val="0012091F"/>
    <w:rsid w:val="00125EFE"/>
    <w:rsid w:val="00126BC2"/>
    <w:rsid w:val="001308B6"/>
    <w:rsid w:val="0013121F"/>
    <w:rsid w:val="00131FE6"/>
    <w:rsid w:val="0013263F"/>
    <w:rsid w:val="001331DF"/>
    <w:rsid w:val="00134817"/>
    <w:rsid w:val="00134DE4"/>
    <w:rsid w:val="00135B12"/>
    <w:rsid w:val="0014034D"/>
    <w:rsid w:val="00140FE3"/>
    <w:rsid w:val="00142027"/>
    <w:rsid w:val="0014343A"/>
    <w:rsid w:val="001438AD"/>
    <w:rsid w:val="00144D16"/>
    <w:rsid w:val="00150E59"/>
    <w:rsid w:val="00152DE3"/>
    <w:rsid w:val="001545A3"/>
    <w:rsid w:val="0016472A"/>
    <w:rsid w:val="00164CF9"/>
    <w:rsid w:val="001667A6"/>
    <w:rsid w:val="00171AD0"/>
    <w:rsid w:val="0018171E"/>
    <w:rsid w:val="00184AD6"/>
    <w:rsid w:val="00185692"/>
    <w:rsid w:val="001879F4"/>
    <w:rsid w:val="001A11A8"/>
    <w:rsid w:val="001A4AF7"/>
    <w:rsid w:val="001B0349"/>
    <w:rsid w:val="001B1E93"/>
    <w:rsid w:val="001B65C1"/>
    <w:rsid w:val="001C260F"/>
    <w:rsid w:val="001C4717"/>
    <w:rsid w:val="001C5C3A"/>
    <w:rsid w:val="001C684B"/>
    <w:rsid w:val="001C6D78"/>
    <w:rsid w:val="001D0CFB"/>
    <w:rsid w:val="001D21AF"/>
    <w:rsid w:val="001D53FC"/>
    <w:rsid w:val="001E3355"/>
    <w:rsid w:val="001F42A5"/>
    <w:rsid w:val="001F7B9D"/>
    <w:rsid w:val="00201C93"/>
    <w:rsid w:val="00206CDE"/>
    <w:rsid w:val="00210AB9"/>
    <w:rsid w:val="00214D89"/>
    <w:rsid w:val="002224B4"/>
    <w:rsid w:val="00241B42"/>
    <w:rsid w:val="002440D0"/>
    <w:rsid w:val="002447EF"/>
    <w:rsid w:val="00251550"/>
    <w:rsid w:val="00263B05"/>
    <w:rsid w:val="00267D10"/>
    <w:rsid w:val="0027221A"/>
    <w:rsid w:val="00275B61"/>
    <w:rsid w:val="002770D0"/>
    <w:rsid w:val="00280FAF"/>
    <w:rsid w:val="00282656"/>
    <w:rsid w:val="002837C0"/>
    <w:rsid w:val="002901AE"/>
    <w:rsid w:val="00292393"/>
    <w:rsid w:val="0029498E"/>
    <w:rsid w:val="00296577"/>
    <w:rsid w:val="00296B83"/>
    <w:rsid w:val="002A3C62"/>
    <w:rsid w:val="002A667A"/>
    <w:rsid w:val="002B0DFB"/>
    <w:rsid w:val="002B2F14"/>
    <w:rsid w:val="002B2FE7"/>
    <w:rsid w:val="002B4015"/>
    <w:rsid w:val="002B6B66"/>
    <w:rsid w:val="002B78CE"/>
    <w:rsid w:val="002C046A"/>
    <w:rsid w:val="002C2FB6"/>
    <w:rsid w:val="002C6AF4"/>
    <w:rsid w:val="002E5FA7"/>
    <w:rsid w:val="002E6447"/>
    <w:rsid w:val="002F3309"/>
    <w:rsid w:val="003001DE"/>
    <w:rsid w:val="003008CE"/>
    <w:rsid w:val="003009B7"/>
    <w:rsid w:val="00300E56"/>
    <w:rsid w:val="0030152C"/>
    <w:rsid w:val="0030469C"/>
    <w:rsid w:val="003126D2"/>
    <w:rsid w:val="00321CA6"/>
    <w:rsid w:val="00323763"/>
    <w:rsid w:val="00323C5F"/>
    <w:rsid w:val="003269CB"/>
    <w:rsid w:val="00334C09"/>
    <w:rsid w:val="00335662"/>
    <w:rsid w:val="003504DF"/>
    <w:rsid w:val="00360E08"/>
    <w:rsid w:val="003723D4"/>
    <w:rsid w:val="00375FE7"/>
    <w:rsid w:val="00381905"/>
    <w:rsid w:val="00384CC8"/>
    <w:rsid w:val="003871FD"/>
    <w:rsid w:val="003904D3"/>
    <w:rsid w:val="003A1E30"/>
    <w:rsid w:val="003A2829"/>
    <w:rsid w:val="003A7D1C"/>
    <w:rsid w:val="003B304B"/>
    <w:rsid w:val="003B3146"/>
    <w:rsid w:val="003B4838"/>
    <w:rsid w:val="003B49CD"/>
    <w:rsid w:val="003D0C24"/>
    <w:rsid w:val="003D1E02"/>
    <w:rsid w:val="003F015E"/>
    <w:rsid w:val="003F1082"/>
    <w:rsid w:val="00400414"/>
    <w:rsid w:val="004059CC"/>
    <w:rsid w:val="00411768"/>
    <w:rsid w:val="0041446B"/>
    <w:rsid w:val="00436564"/>
    <w:rsid w:val="0044071E"/>
    <w:rsid w:val="0044329C"/>
    <w:rsid w:val="00450AB7"/>
    <w:rsid w:val="00453E24"/>
    <w:rsid w:val="00455EF7"/>
    <w:rsid w:val="00457456"/>
    <w:rsid w:val="004577FE"/>
    <w:rsid w:val="00457B9C"/>
    <w:rsid w:val="0046164A"/>
    <w:rsid w:val="004628D2"/>
    <w:rsid w:val="00462DCD"/>
    <w:rsid w:val="00462F80"/>
    <w:rsid w:val="004648AD"/>
    <w:rsid w:val="004658CA"/>
    <w:rsid w:val="004703A9"/>
    <w:rsid w:val="004742FF"/>
    <w:rsid w:val="004760DE"/>
    <w:rsid w:val="004763D7"/>
    <w:rsid w:val="004815C8"/>
    <w:rsid w:val="004831FC"/>
    <w:rsid w:val="004A004E"/>
    <w:rsid w:val="004A1DA5"/>
    <w:rsid w:val="004A24CF"/>
    <w:rsid w:val="004A629E"/>
    <w:rsid w:val="004C3D1D"/>
    <w:rsid w:val="004C3D84"/>
    <w:rsid w:val="004C7913"/>
    <w:rsid w:val="004D360A"/>
    <w:rsid w:val="004E2B84"/>
    <w:rsid w:val="004E4DD6"/>
    <w:rsid w:val="004F5E36"/>
    <w:rsid w:val="004F6ABE"/>
    <w:rsid w:val="00507B47"/>
    <w:rsid w:val="00507BEF"/>
    <w:rsid w:val="00507CC9"/>
    <w:rsid w:val="00510A2C"/>
    <w:rsid w:val="005119A5"/>
    <w:rsid w:val="00512C83"/>
    <w:rsid w:val="00513959"/>
    <w:rsid w:val="005278B7"/>
    <w:rsid w:val="005314E5"/>
    <w:rsid w:val="00532016"/>
    <w:rsid w:val="005346C8"/>
    <w:rsid w:val="00543E7D"/>
    <w:rsid w:val="00547A68"/>
    <w:rsid w:val="005531C9"/>
    <w:rsid w:val="00554854"/>
    <w:rsid w:val="00554879"/>
    <w:rsid w:val="005631D3"/>
    <w:rsid w:val="00570C43"/>
    <w:rsid w:val="00576709"/>
    <w:rsid w:val="005822DC"/>
    <w:rsid w:val="005849C0"/>
    <w:rsid w:val="00586524"/>
    <w:rsid w:val="005903F4"/>
    <w:rsid w:val="00592274"/>
    <w:rsid w:val="00592E4B"/>
    <w:rsid w:val="005A0FB1"/>
    <w:rsid w:val="005B00DE"/>
    <w:rsid w:val="005B2110"/>
    <w:rsid w:val="005B350B"/>
    <w:rsid w:val="005B61E6"/>
    <w:rsid w:val="005C01A8"/>
    <w:rsid w:val="005C77E1"/>
    <w:rsid w:val="005D668A"/>
    <w:rsid w:val="005D6A2F"/>
    <w:rsid w:val="005E0592"/>
    <w:rsid w:val="005E1A82"/>
    <w:rsid w:val="005E4CCA"/>
    <w:rsid w:val="005E794C"/>
    <w:rsid w:val="005F0257"/>
    <w:rsid w:val="005F0A28"/>
    <w:rsid w:val="005F0E5E"/>
    <w:rsid w:val="00600535"/>
    <w:rsid w:val="00610CD6"/>
    <w:rsid w:val="00615352"/>
    <w:rsid w:val="00620DEE"/>
    <w:rsid w:val="00621F92"/>
    <w:rsid w:val="0062280A"/>
    <w:rsid w:val="006231E1"/>
    <w:rsid w:val="00625639"/>
    <w:rsid w:val="00631B33"/>
    <w:rsid w:val="006343E1"/>
    <w:rsid w:val="0064184D"/>
    <w:rsid w:val="006422CC"/>
    <w:rsid w:val="00651D18"/>
    <w:rsid w:val="00654601"/>
    <w:rsid w:val="00660E3E"/>
    <w:rsid w:val="00662E74"/>
    <w:rsid w:val="00680C23"/>
    <w:rsid w:val="00683E23"/>
    <w:rsid w:val="0069264C"/>
    <w:rsid w:val="00693766"/>
    <w:rsid w:val="006A3281"/>
    <w:rsid w:val="006A6DE5"/>
    <w:rsid w:val="006B1238"/>
    <w:rsid w:val="006B4888"/>
    <w:rsid w:val="006C11A5"/>
    <w:rsid w:val="006C2E45"/>
    <w:rsid w:val="006C359C"/>
    <w:rsid w:val="006C4836"/>
    <w:rsid w:val="006C48E3"/>
    <w:rsid w:val="006C5579"/>
    <w:rsid w:val="006D26AF"/>
    <w:rsid w:val="006D6E8B"/>
    <w:rsid w:val="006D7209"/>
    <w:rsid w:val="006E737D"/>
    <w:rsid w:val="00702ED1"/>
    <w:rsid w:val="00707DD1"/>
    <w:rsid w:val="00712BC0"/>
    <w:rsid w:val="00713973"/>
    <w:rsid w:val="00720A24"/>
    <w:rsid w:val="00722DBF"/>
    <w:rsid w:val="00723E98"/>
    <w:rsid w:val="00732386"/>
    <w:rsid w:val="00733A1E"/>
    <w:rsid w:val="0073514D"/>
    <w:rsid w:val="007447F3"/>
    <w:rsid w:val="0075499F"/>
    <w:rsid w:val="007661C8"/>
    <w:rsid w:val="0077098D"/>
    <w:rsid w:val="007741CB"/>
    <w:rsid w:val="00775355"/>
    <w:rsid w:val="00784560"/>
    <w:rsid w:val="00785BF9"/>
    <w:rsid w:val="0078605A"/>
    <w:rsid w:val="007931FA"/>
    <w:rsid w:val="00794FCC"/>
    <w:rsid w:val="007A3EBB"/>
    <w:rsid w:val="007A3FC7"/>
    <w:rsid w:val="007A4861"/>
    <w:rsid w:val="007A4A6F"/>
    <w:rsid w:val="007A6117"/>
    <w:rsid w:val="007A7BBA"/>
    <w:rsid w:val="007B0C50"/>
    <w:rsid w:val="007B48F9"/>
    <w:rsid w:val="007C002B"/>
    <w:rsid w:val="007C1A43"/>
    <w:rsid w:val="007D081F"/>
    <w:rsid w:val="007D0951"/>
    <w:rsid w:val="007D610D"/>
    <w:rsid w:val="007D6F64"/>
    <w:rsid w:val="007E6ED1"/>
    <w:rsid w:val="007F7888"/>
    <w:rsid w:val="0080013E"/>
    <w:rsid w:val="00801759"/>
    <w:rsid w:val="00813288"/>
    <w:rsid w:val="008168FC"/>
    <w:rsid w:val="00822011"/>
    <w:rsid w:val="00830996"/>
    <w:rsid w:val="008345F1"/>
    <w:rsid w:val="00853450"/>
    <w:rsid w:val="00856F04"/>
    <w:rsid w:val="008576E8"/>
    <w:rsid w:val="00865B07"/>
    <w:rsid w:val="008667EA"/>
    <w:rsid w:val="0087637F"/>
    <w:rsid w:val="008832AA"/>
    <w:rsid w:val="00892AD5"/>
    <w:rsid w:val="00893E26"/>
    <w:rsid w:val="008A1512"/>
    <w:rsid w:val="008A50C5"/>
    <w:rsid w:val="008B134B"/>
    <w:rsid w:val="008B2CEA"/>
    <w:rsid w:val="008B5313"/>
    <w:rsid w:val="008C16FA"/>
    <w:rsid w:val="008C1D25"/>
    <w:rsid w:val="008C77D1"/>
    <w:rsid w:val="008D32B9"/>
    <w:rsid w:val="008D3376"/>
    <w:rsid w:val="008D433B"/>
    <w:rsid w:val="008D4A16"/>
    <w:rsid w:val="008E5273"/>
    <w:rsid w:val="008E5401"/>
    <w:rsid w:val="008E566E"/>
    <w:rsid w:val="008F032D"/>
    <w:rsid w:val="0090161A"/>
    <w:rsid w:val="00901EB6"/>
    <w:rsid w:val="009041F8"/>
    <w:rsid w:val="00904C62"/>
    <w:rsid w:val="00922BA8"/>
    <w:rsid w:val="00923E63"/>
    <w:rsid w:val="00924DAC"/>
    <w:rsid w:val="00927058"/>
    <w:rsid w:val="00927FA5"/>
    <w:rsid w:val="009337E4"/>
    <w:rsid w:val="00942750"/>
    <w:rsid w:val="009450CE"/>
    <w:rsid w:val="009459BB"/>
    <w:rsid w:val="00946B8C"/>
    <w:rsid w:val="00947179"/>
    <w:rsid w:val="0095164B"/>
    <w:rsid w:val="00954090"/>
    <w:rsid w:val="009570BA"/>
    <w:rsid w:val="0095737A"/>
    <w:rsid w:val="009573E7"/>
    <w:rsid w:val="00963E05"/>
    <w:rsid w:val="00964277"/>
    <w:rsid w:val="00964A45"/>
    <w:rsid w:val="00967843"/>
    <w:rsid w:val="00967D54"/>
    <w:rsid w:val="00971028"/>
    <w:rsid w:val="00992A94"/>
    <w:rsid w:val="00993B84"/>
    <w:rsid w:val="00994C6A"/>
    <w:rsid w:val="00996483"/>
    <w:rsid w:val="00996F5A"/>
    <w:rsid w:val="009B041A"/>
    <w:rsid w:val="009B0AE4"/>
    <w:rsid w:val="009B76D7"/>
    <w:rsid w:val="009C04F8"/>
    <w:rsid w:val="009C37C3"/>
    <w:rsid w:val="009C5898"/>
    <w:rsid w:val="009C7C86"/>
    <w:rsid w:val="009D06F8"/>
    <w:rsid w:val="009D1CD2"/>
    <w:rsid w:val="009D2FF7"/>
    <w:rsid w:val="009D4930"/>
    <w:rsid w:val="009E4078"/>
    <w:rsid w:val="009E7884"/>
    <w:rsid w:val="009E788A"/>
    <w:rsid w:val="009F0E08"/>
    <w:rsid w:val="00A0169A"/>
    <w:rsid w:val="00A01B59"/>
    <w:rsid w:val="00A079AE"/>
    <w:rsid w:val="00A1083C"/>
    <w:rsid w:val="00A1763D"/>
    <w:rsid w:val="00A17CEC"/>
    <w:rsid w:val="00A26A86"/>
    <w:rsid w:val="00A27EF0"/>
    <w:rsid w:val="00A308DE"/>
    <w:rsid w:val="00A361A1"/>
    <w:rsid w:val="00A40C97"/>
    <w:rsid w:val="00A42361"/>
    <w:rsid w:val="00A43368"/>
    <w:rsid w:val="00A50B20"/>
    <w:rsid w:val="00A51390"/>
    <w:rsid w:val="00A60D13"/>
    <w:rsid w:val="00A67CA1"/>
    <w:rsid w:val="00A721B0"/>
    <w:rsid w:val="00A7223D"/>
    <w:rsid w:val="00A72745"/>
    <w:rsid w:val="00A76EFC"/>
    <w:rsid w:val="00A87D50"/>
    <w:rsid w:val="00A91010"/>
    <w:rsid w:val="00A97F29"/>
    <w:rsid w:val="00AA702E"/>
    <w:rsid w:val="00AA7D26"/>
    <w:rsid w:val="00AB0964"/>
    <w:rsid w:val="00AB5011"/>
    <w:rsid w:val="00AC59DE"/>
    <w:rsid w:val="00AC7368"/>
    <w:rsid w:val="00AD16B9"/>
    <w:rsid w:val="00AE377D"/>
    <w:rsid w:val="00AF0EBA"/>
    <w:rsid w:val="00AF2463"/>
    <w:rsid w:val="00B0184E"/>
    <w:rsid w:val="00B0288C"/>
    <w:rsid w:val="00B02C8A"/>
    <w:rsid w:val="00B0404F"/>
    <w:rsid w:val="00B058B2"/>
    <w:rsid w:val="00B17FBD"/>
    <w:rsid w:val="00B27E65"/>
    <w:rsid w:val="00B315A6"/>
    <w:rsid w:val="00B31813"/>
    <w:rsid w:val="00B33365"/>
    <w:rsid w:val="00B44083"/>
    <w:rsid w:val="00B462BF"/>
    <w:rsid w:val="00B51440"/>
    <w:rsid w:val="00B57B36"/>
    <w:rsid w:val="00B57E6F"/>
    <w:rsid w:val="00B613C7"/>
    <w:rsid w:val="00B73612"/>
    <w:rsid w:val="00B859A1"/>
    <w:rsid w:val="00B8686D"/>
    <w:rsid w:val="00B93F69"/>
    <w:rsid w:val="00BA4CDC"/>
    <w:rsid w:val="00BB06DA"/>
    <w:rsid w:val="00BB1DDC"/>
    <w:rsid w:val="00BC2891"/>
    <w:rsid w:val="00BC30C9"/>
    <w:rsid w:val="00BC572B"/>
    <w:rsid w:val="00BC635E"/>
    <w:rsid w:val="00BD077D"/>
    <w:rsid w:val="00BE3E58"/>
    <w:rsid w:val="00BE44E0"/>
    <w:rsid w:val="00BE746B"/>
    <w:rsid w:val="00BF028A"/>
    <w:rsid w:val="00BF13CE"/>
    <w:rsid w:val="00C01616"/>
    <w:rsid w:val="00C0162B"/>
    <w:rsid w:val="00C068ED"/>
    <w:rsid w:val="00C0724D"/>
    <w:rsid w:val="00C22E0C"/>
    <w:rsid w:val="00C23C87"/>
    <w:rsid w:val="00C301EB"/>
    <w:rsid w:val="00C32C7D"/>
    <w:rsid w:val="00C345B1"/>
    <w:rsid w:val="00C40142"/>
    <w:rsid w:val="00C4256C"/>
    <w:rsid w:val="00C46676"/>
    <w:rsid w:val="00C46AA6"/>
    <w:rsid w:val="00C52C3C"/>
    <w:rsid w:val="00C57182"/>
    <w:rsid w:val="00C57863"/>
    <w:rsid w:val="00C6143B"/>
    <w:rsid w:val="00C640AF"/>
    <w:rsid w:val="00C655FD"/>
    <w:rsid w:val="00C75407"/>
    <w:rsid w:val="00C81E7D"/>
    <w:rsid w:val="00C841C6"/>
    <w:rsid w:val="00C870A8"/>
    <w:rsid w:val="00C94434"/>
    <w:rsid w:val="00C964AB"/>
    <w:rsid w:val="00C96920"/>
    <w:rsid w:val="00CA0D75"/>
    <w:rsid w:val="00CA1C95"/>
    <w:rsid w:val="00CA4518"/>
    <w:rsid w:val="00CA5A9C"/>
    <w:rsid w:val="00CC274F"/>
    <w:rsid w:val="00CC4C20"/>
    <w:rsid w:val="00CD207C"/>
    <w:rsid w:val="00CD34DB"/>
    <w:rsid w:val="00CD3517"/>
    <w:rsid w:val="00CD5FE2"/>
    <w:rsid w:val="00CE7C68"/>
    <w:rsid w:val="00D01722"/>
    <w:rsid w:val="00D02B4C"/>
    <w:rsid w:val="00D040C4"/>
    <w:rsid w:val="00D04336"/>
    <w:rsid w:val="00D04E1C"/>
    <w:rsid w:val="00D1658C"/>
    <w:rsid w:val="00D20AD1"/>
    <w:rsid w:val="00D2582C"/>
    <w:rsid w:val="00D34AE2"/>
    <w:rsid w:val="00D46B7E"/>
    <w:rsid w:val="00D47A0C"/>
    <w:rsid w:val="00D57C84"/>
    <w:rsid w:val="00D6057D"/>
    <w:rsid w:val="00D71640"/>
    <w:rsid w:val="00D73FD9"/>
    <w:rsid w:val="00D836C5"/>
    <w:rsid w:val="00D8430E"/>
    <w:rsid w:val="00D84576"/>
    <w:rsid w:val="00D85151"/>
    <w:rsid w:val="00D92CDB"/>
    <w:rsid w:val="00D92EBD"/>
    <w:rsid w:val="00DA1399"/>
    <w:rsid w:val="00DA1CF8"/>
    <w:rsid w:val="00DA24C6"/>
    <w:rsid w:val="00DA4D7B"/>
    <w:rsid w:val="00DB7918"/>
    <w:rsid w:val="00DC2840"/>
    <w:rsid w:val="00DC630A"/>
    <w:rsid w:val="00DC73EE"/>
    <w:rsid w:val="00DD271C"/>
    <w:rsid w:val="00DD3D62"/>
    <w:rsid w:val="00DD75B0"/>
    <w:rsid w:val="00DE264A"/>
    <w:rsid w:val="00DE33D3"/>
    <w:rsid w:val="00DF5072"/>
    <w:rsid w:val="00DF6E98"/>
    <w:rsid w:val="00DF7A1A"/>
    <w:rsid w:val="00E02D18"/>
    <w:rsid w:val="00E041E7"/>
    <w:rsid w:val="00E10E62"/>
    <w:rsid w:val="00E2125F"/>
    <w:rsid w:val="00E23CA1"/>
    <w:rsid w:val="00E34D6A"/>
    <w:rsid w:val="00E3754D"/>
    <w:rsid w:val="00E409A8"/>
    <w:rsid w:val="00E50C12"/>
    <w:rsid w:val="00E65B91"/>
    <w:rsid w:val="00E7209D"/>
    <w:rsid w:val="00E72EAD"/>
    <w:rsid w:val="00E76446"/>
    <w:rsid w:val="00E77223"/>
    <w:rsid w:val="00E81BD2"/>
    <w:rsid w:val="00E8528B"/>
    <w:rsid w:val="00E85B94"/>
    <w:rsid w:val="00E91594"/>
    <w:rsid w:val="00E978D0"/>
    <w:rsid w:val="00E97EA3"/>
    <w:rsid w:val="00EA4613"/>
    <w:rsid w:val="00EA46FD"/>
    <w:rsid w:val="00EA7F91"/>
    <w:rsid w:val="00EB1523"/>
    <w:rsid w:val="00EB7BBC"/>
    <w:rsid w:val="00EC0E49"/>
    <w:rsid w:val="00EC101F"/>
    <w:rsid w:val="00EC1D9F"/>
    <w:rsid w:val="00EC4EC9"/>
    <w:rsid w:val="00EE0131"/>
    <w:rsid w:val="00EE17B0"/>
    <w:rsid w:val="00EF06D9"/>
    <w:rsid w:val="00EF7AB7"/>
    <w:rsid w:val="00F0142E"/>
    <w:rsid w:val="00F07EA5"/>
    <w:rsid w:val="00F20251"/>
    <w:rsid w:val="00F25D00"/>
    <w:rsid w:val="00F3049E"/>
    <w:rsid w:val="00F30C64"/>
    <w:rsid w:val="00F32BA2"/>
    <w:rsid w:val="00F32CDB"/>
    <w:rsid w:val="00F41EE4"/>
    <w:rsid w:val="00F4262A"/>
    <w:rsid w:val="00F46BDA"/>
    <w:rsid w:val="00F565FE"/>
    <w:rsid w:val="00F63A70"/>
    <w:rsid w:val="00F63D8C"/>
    <w:rsid w:val="00F7346C"/>
    <w:rsid w:val="00F7534E"/>
    <w:rsid w:val="00F75C6F"/>
    <w:rsid w:val="00F931E7"/>
    <w:rsid w:val="00F93EDF"/>
    <w:rsid w:val="00FA0B28"/>
    <w:rsid w:val="00FA1802"/>
    <w:rsid w:val="00FA21D0"/>
    <w:rsid w:val="00FA2AAB"/>
    <w:rsid w:val="00FA5F5F"/>
    <w:rsid w:val="00FA708E"/>
    <w:rsid w:val="00FB730C"/>
    <w:rsid w:val="00FC2695"/>
    <w:rsid w:val="00FC3E03"/>
    <w:rsid w:val="00FC3FC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CET Top_page"/>
    <w:rsid w:val="000E5E98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a5">
    <w:name w:val="annotation reference"/>
    <w:basedOn w:val="a2"/>
    <w:uiPriority w:val="99"/>
    <w:semiHidden/>
    <w:unhideWhenUsed/>
    <w:rsid w:val="004577FE"/>
    <w:rPr>
      <w:sz w:val="16"/>
      <w:szCs w:val="16"/>
    </w:rPr>
  </w:style>
  <w:style w:type="paragraph" w:styleId="a6">
    <w:name w:val="Balloon Text"/>
    <w:basedOn w:val="a1"/>
    <w:link w:val="a7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basedOn w:val="a2"/>
    <w:link w:val="a6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8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03148D"/>
    <w:rPr>
      <w:sz w:val="16"/>
      <w:szCs w:val="16"/>
    </w:rPr>
  </w:style>
  <w:style w:type="paragraph" w:styleId="a9">
    <w:name w:val="Body Text"/>
    <w:basedOn w:val="a1"/>
    <w:link w:val="aa"/>
    <w:uiPriority w:val="99"/>
    <w:semiHidden/>
    <w:unhideWhenUsed/>
    <w:rsid w:val="0003148D"/>
    <w:pPr>
      <w:spacing w:after="120"/>
    </w:pPr>
  </w:style>
  <w:style w:type="character" w:customStyle="1" w:styleId="aa">
    <w:name w:val="本文 字元"/>
    <w:basedOn w:val="a2"/>
    <w:link w:val="a9"/>
    <w:uiPriority w:val="99"/>
    <w:semiHidden/>
    <w:rsid w:val="0003148D"/>
  </w:style>
  <w:style w:type="paragraph" w:styleId="ab">
    <w:name w:val="Date"/>
    <w:basedOn w:val="a1"/>
    <w:next w:val="a1"/>
    <w:link w:val="ac"/>
    <w:uiPriority w:val="99"/>
    <w:semiHidden/>
    <w:unhideWhenUsed/>
    <w:rsid w:val="0003148D"/>
  </w:style>
  <w:style w:type="character" w:customStyle="1" w:styleId="ac">
    <w:name w:val="日期 字元"/>
    <w:basedOn w:val="a2"/>
    <w:link w:val="ab"/>
    <w:uiPriority w:val="99"/>
    <w:semiHidden/>
    <w:rsid w:val="0003148D"/>
  </w:style>
  <w:style w:type="paragraph" w:styleId="ad">
    <w:name w:val="caption"/>
    <w:basedOn w:val="a1"/>
    <w:next w:val="a1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e">
    <w:name w:val="List"/>
    <w:basedOn w:val="a1"/>
    <w:uiPriority w:val="99"/>
    <w:semiHidden/>
    <w:unhideWhenUs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03148D"/>
    <w:pPr>
      <w:ind w:left="1415" w:hanging="283"/>
      <w:contextualSpacing/>
    </w:pPr>
  </w:style>
  <w:style w:type="paragraph" w:styleId="af">
    <w:name w:val="List Continue"/>
    <w:basedOn w:val="a1"/>
    <w:uiPriority w:val="99"/>
    <w:semiHidden/>
    <w:unhideWhenUs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af0">
    <w:name w:val="Signature"/>
    <w:basedOn w:val="a1"/>
    <w:link w:val="af1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f1">
    <w:name w:val="簽名 字元"/>
    <w:basedOn w:val="a2"/>
    <w:link w:val="af0"/>
    <w:uiPriority w:val="99"/>
    <w:semiHidden/>
    <w:rsid w:val="0003148D"/>
  </w:style>
  <w:style w:type="paragraph" w:styleId="af2">
    <w:name w:val="E-mail Signature"/>
    <w:basedOn w:val="a1"/>
    <w:link w:val="af3"/>
    <w:uiPriority w:val="99"/>
    <w:semiHidden/>
    <w:unhideWhenUsed/>
    <w:rsid w:val="0003148D"/>
    <w:pPr>
      <w:spacing w:line="240" w:lineRule="auto"/>
    </w:pPr>
  </w:style>
  <w:style w:type="character" w:customStyle="1" w:styleId="af3">
    <w:name w:val="電子郵件簽名 字元"/>
    <w:basedOn w:val="a2"/>
    <w:link w:val="af2"/>
    <w:uiPriority w:val="99"/>
    <w:semiHidden/>
    <w:rsid w:val="0003148D"/>
  </w:style>
  <w:style w:type="paragraph" w:styleId="af4">
    <w:name w:val="Salutation"/>
    <w:basedOn w:val="a1"/>
    <w:next w:val="a1"/>
    <w:link w:val="af5"/>
    <w:uiPriority w:val="99"/>
    <w:semiHidden/>
    <w:unhideWhenUsed/>
    <w:rsid w:val="0003148D"/>
  </w:style>
  <w:style w:type="character" w:customStyle="1" w:styleId="af5">
    <w:name w:val="問候 字元"/>
    <w:basedOn w:val="a2"/>
    <w:link w:val="af4"/>
    <w:uiPriority w:val="99"/>
    <w:semiHidden/>
    <w:rsid w:val="0003148D"/>
  </w:style>
  <w:style w:type="paragraph" w:styleId="af6">
    <w:name w:val="Closing"/>
    <w:basedOn w:val="a1"/>
    <w:link w:val="af7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f7">
    <w:name w:val="結語 字元"/>
    <w:basedOn w:val="a2"/>
    <w:link w:val="af6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af8">
    <w:name w:val="table of figures"/>
    <w:basedOn w:val="a1"/>
    <w:next w:val="a1"/>
    <w:uiPriority w:val="99"/>
    <w:semiHidden/>
    <w:unhideWhenUsed/>
    <w:rsid w:val="0003148D"/>
  </w:style>
  <w:style w:type="paragraph" w:styleId="af9">
    <w:name w:val="table of authorities"/>
    <w:basedOn w:val="a1"/>
    <w:next w:val="a1"/>
    <w:uiPriority w:val="99"/>
    <w:semiHidden/>
    <w:unhideWhenUsed/>
    <w:rsid w:val="0003148D"/>
    <w:pPr>
      <w:ind w:left="220" w:hanging="220"/>
    </w:pPr>
  </w:style>
  <w:style w:type="paragraph" w:styleId="afa">
    <w:name w:val="envelope address"/>
    <w:basedOn w:val="a1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03148D"/>
    <w:rPr>
      <w:i/>
      <w:iCs/>
    </w:rPr>
  </w:style>
  <w:style w:type="paragraph" w:styleId="afb">
    <w:name w:val="envelope return"/>
    <w:basedOn w:val="a1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c">
    <w:name w:val="Message Header"/>
    <w:basedOn w:val="a1"/>
    <w:link w:val="afd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d">
    <w:name w:val="訊息欄位名稱 字元"/>
    <w:basedOn w:val="a2"/>
    <w:link w:val="afc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e">
    <w:name w:val="Note Heading"/>
    <w:basedOn w:val="a1"/>
    <w:next w:val="a1"/>
    <w:link w:val="aff"/>
    <w:uiPriority w:val="99"/>
    <w:semiHidden/>
    <w:unhideWhenUsed/>
    <w:rsid w:val="0003148D"/>
    <w:pPr>
      <w:spacing w:line="240" w:lineRule="auto"/>
    </w:pPr>
  </w:style>
  <w:style w:type="character" w:customStyle="1" w:styleId="aff">
    <w:name w:val="註釋標題 字元"/>
    <w:basedOn w:val="a2"/>
    <w:link w:val="afe"/>
    <w:uiPriority w:val="99"/>
    <w:semiHidden/>
    <w:rsid w:val="0003148D"/>
  </w:style>
  <w:style w:type="paragraph" w:styleId="aff0">
    <w:name w:val="Document Map"/>
    <w:basedOn w:val="a1"/>
    <w:link w:val="aff1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文件引導模式 字元"/>
    <w:basedOn w:val="a2"/>
    <w:link w:val="aff0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預設格式 字元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2">
    <w:name w:val="Body Text First Indent"/>
    <w:basedOn w:val="a9"/>
    <w:link w:val="aff3"/>
    <w:uiPriority w:val="99"/>
    <w:semiHidden/>
    <w:unhideWhenUsed/>
    <w:rsid w:val="0003148D"/>
    <w:pPr>
      <w:spacing w:after="200"/>
      <w:ind w:firstLine="360"/>
    </w:pPr>
  </w:style>
  <w:style w:type="character" w:customStyle="1" w:styleId="aff3">
    <w:name w:val="本文第一層縮排 字元"/>
    <w:basedOn w:val="aa"/>
    <w:link w:val="aff2"/>
    <w:uiPriority w:val="99"/>
    <w:semiHidden/>
    <w:rsid w:val="0003148D"/>
  </w:style>
  <w:style w:type="paragraph" w:styleId="aff4">
    <w:name w:val="Body Text Indent"/>
    <w:basedOn w:val="a1"/>
    <w:link w:val="aff5"/>
    <w:uiPriority w:val="99"/>
    <w:semiHidden/>
    <w:unhideWhenUsed/>
    <w:rsid w:val="0003148D"/>
    <w:pPr>
      <w:spacing w:after="120"/>
      <w:ind w:left="283"/>
    </w:pPr>
  </w:style>
  <w:style w:type="character" w:customStyle="1" w:styleId="aff5">
    <w:name w:val="本文縮排 字元"/>
    <w:basedOn w:val="a2"/>
    <w:link w:val="aff4"/>
    <w:uiPriority w:val="99"/>
    <w:semiHidden/>
    <w:rsid w:val="0003148D"/>
  </w:style>
  <w:style w:type="paragraph" w:styleId="28">
    <w:name w:val="Body Text First Indent 2"/>
    <w:basedOn w:val="aff4"/>
    <w:link w:val="29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29">
    <w:name w:val="本文第一層縮排 2 字元"/>
    <w:basedOn w:val="aff5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2b">
    <w:name w:val="本文縮排 2 字元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縮排 3 字元"/>
    <w:basedOn w:val="a2"/>
    <w:link w:val="38"/>
    <w:uiPriority w:val="99"/>
    <w:semiHidden/>
    <w:rsid w:val="0003148D"/>
    <w:rPr>
      <w:sz w:val="16"/>
      <w:szCs w:val="16"/>
    </w:rPr>
  </w:style>
  <w:style w:type="paragraph" w:styleId="aff6">
    <w:name w:val="Normal Indent"/>
    <w:basedOn w:val="a1"/>
    <w:uiPriority w:val="99"/>
    <w:semiHidden/>
    <w:unhideWhenUsed/>
    <w:rsid w:val="0003148D"/>
    <w:pPr>
      <w:ind w:left="720"/>
    </w:pPr>
  </w:style>
  <w:style w:type="paragraph" w:styleId="aff7">
    <w:name w:val="annotation text"/>
    <w:basedOn w:val="a1"/>
    <w:link w:val="aff8"/>
    <w:uiPriority w:val="99"/>
    <w:unhideWhenUsed/>
    <w:rsid w:val="0003148D"/>
    <w:pPr>
      <w:spacing w:line="240" w:lineRule="auto"/>
    </w:pPr>
  </w:style>
  <w:style w:type="character" w:customStyle="1" w:styleId="aff8">
    <w:name w:val="註解文字 字元"/>
    <w:basedOn w:val="a2"/>
    <w:link w:val="aff7"/>
    <w:uiPriority w:val="99"/>
    <w:rsid w:val="000314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03148D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03148D"/>
    <w:pPr>
      <w:spacing w:after="100"/>
      <w:ind w:left="1760"/>
    </w:pPr>
  </w:style>
  <w:style w:type="paragraph" w:styleId="affb">
    <w:name w:val="Block Text"/>
    <w:basedOn w:val="a1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c">
    <w:name w:val="macro"/>
    <w:link w:val="affd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d">
    <w:name w:val="巨集文字 字元"/>
    <w:basedOn w:val="a2"/>
    <w:link w:val="affc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e">
    <w:name w:val="Plain Text"/>
    <w:basedOn w:val="a1"/>
    <w:link w:val="afff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">
    <w:name w:val="純文字 字元"/>
    <w:basedOn w:val="a2"/>
    <w:link w:val="af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0">
    <w:name w:val="footnote text"/>
    <w:basedOn w:val="a1"/>
    <w:link w:val="afff1"/>
    <w:uiPriority w:val="99"/>
    <w:semiHidden/>
    <w:unhideWhenUsed/>
    <w:rsid w:val="0003148D"/>
    <w:pPr>
      <w:spacing w:line="240" w:lineRule="auto"/>
    </w:pPr>
  </w:style>
  <w:style w:type="character" w:customStyle="1" w:styleId="afff1">
    <w:name w:val="註腳文字 字元"/>
    <w:basedOn w:val="a2"/>
    <w:link w:val="afff0"/>
    <w:uiPriority w:val="99"/>
    <w:semiHidden/>
    <w:rsid w:val="0003148D"/>
    <w:rPr>
      <w:sz w:val="20"/>
      <w:szCs w:val="20"/>
    </w:rPr>
  </w:style>
  <w:style w:type="paragraph" w:styleId="afff2">
    <w:name w:val="endnote text"/>
    <w:basedOn w:val="a1"/>
    <w:link w:val="afff3"/>
    <w:uiPriority w:val="99"/>
    <w:semiHidden/>
    <w:unhideWhenUsed/>
    <w:rsid w:val="0003148D"/>
    <w:pPr>
      <w:spacing w:line="240" w:lineRule="auto"/>
    </w:pPr>
  </w:style>
  <w:style w:type="character" w:customStyle="1" w:styleId="afff3">
    <w:name w:val="章節附註文字 字元"/>
    <w:basedOn w:val="a2"/>
    <w:link w:val="afff2"/>
    <w:uiPriority w:val="99"/>
    <w:semiHidden/>
    <w:rsid w:val="0003148D"/>
    <w:rPr>
      <w:sz w:val="20"/>
      <w:szCs w:val="20"/>
    </w:rPr>
  </w:style>
  <w:style w:type="character" w:customStyle="1" w:styleId="11">
    <w:name w:val="標題 1 字元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標題 2 字元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標題 4 字元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標題 5 字元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4">
    <w:name w:val="index heading"/>
    <w:basedOn w:val="a1"/>
    <w:next w:val="12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afff5">
    <w:name w:val="toa heading"/>
    <w:basedOn w:val="a1"/>
    <w:next w:val="a1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6">
    <w:name w:val="TOC Heading"/>
    <w:basedOn w:val="10"/>
    <w:next w:val="a1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7">
    <w:name w:val="header"/>
    <w:basedOn w:val="a1"/>
    <w:link w:val="afff8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8">
    <w:name w:val="頁首 字元"/>
    <w:basedOn w:val="a2"/>
    <w:link w:val="afff7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9">
    <w:name w:val="footer"/>
    <w:basedOn w:val="a1"/>
    <w:link w:val="afffa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a">
    <w:name w:val="頁尾 字元"/>
    <w:basedOn w:val="a2"/>
    <w:link w:val="afff9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b">
    <w:name w:val="Table Grid"/>
    <w:basedOn w:val="a3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Hyperlink"/>
    <w:basedOn w:val="a2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a2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afffd">
    <w:name w:val="List Paragraph"/>
    <w:basedOn w:val="a1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a2"/>
    <w:rsid w:val="00005A19"/>
  </w:style>
  <w:style w:type="character" w:styleId="afffe">
    <w:name w:val="Placeholder Text"/>
    <w:basedOn w:val="a2"/>
    <w:uiPriority w:val="99"/>
    <w:semiHidden/>
    <w:rsid w:val="00957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1DC4-3F2B-451E-9E7D-6BC1E932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2964</Words>
  <Characters>16896</Characters>
  <Application>Microsoft Office Word</Application>
  <DocSecurity>0</DocSecurity>
  <Lines>140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user</cp:lastModifiedBy>
  <cp:revision>13</cp:revision>
  <cp:lastPrinted>2015-05-12T18:31:00Z</cp:lastPrinted>
  <dcterms:created xsi:type="dcterms:W3CDTF">2025-07-10T07:01:00Z</dcterms:created>
  <dcterms:modified xsi:type="dcterms:W3CDTF">2025-07-11T09:05:00Z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